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F549D9">
      <w:pPr>
        <w:pStyle w:val="15"/>
        <w:tabs>
          <w:tab w:val="left" w:pos="2931"/>
        </w:tabs>
        <w:rPr>
          <w:rFonts w:hint="default" w:ascii="仿宋_GB2312" w:hAnsi="仿宋" w:eastAsia="仿宋_GB2312" w:cs="仿宋"/>
          <w:b/>
          <w:bCs w:val="0"/>
          <w:color w:val="auto"/>
          <w:sz w:val="28"/>
          <w:szCs w:val="28"/>
          <w:lang w:val="en-US" w:eastAsia="zh-CN"/>
        </w:rPr>
      </w:pPr>
      <w:bookmarkStart w:id="0" w:name="_GoBack"/>
      <w:bookmarkEnd w:id="0"/>
      <w:r>
        <w:rPr>
          <w:rFonts w:hint="eastAsia" w:ascii="仿宋_GB2312" w:hAnsi="仿宋" w:eastAsia="仿宋_GB2312" w:cs="仿宋"/>
          <w:b/>
          <w:bCs w:val="0"/>
          <w:color w:val="auto"/>
          <w:sz w:val="28"/>
          <w:szCs w:val="28"/>
          <w:lang w:val="en-US" w:eastAsia="zh-CN"/>
        </w:rPr>
        <w:t>附件1</w:t>
      </w:r>
    </w:p>
    <w:p w14:paraId="2C8F5CA4">
      <w:pPr>
        <w:pStyle w:val="15"/>
        <w:rPr>
          <w:rFonts w:hint="default"/>
          <w:color w:val="auto"/>
          <w:lang w:val="en-US" w:eastAsia="zh-CN"/>
        </w:rPr>
      </w:pPr>
    </w:p>
    <w:p w14:paraId="34D12ECC">
      <w:pPr>
        <w:spacing w:line="360" w:lineRule="auto"/>
        <w:jc w:val="center"/>
        <w:rPr>
          <w:rFonts w:hint="eastAsia" w:ascii="宋体" w:hAnsi="宋体" w:eastAsia="宋体" w:cs="Times New Roman"/>
          <w:color w:val="auto"/>
          <w:kern w:val="2"/>
          <w:sz w:val="44"/>
          <w:szCs w:val="44"/>
          <w:lang w:val="en-US" w:eastAsia="zh-CN" w:bidi="ar-SA"/>
        </w:rPr>
      </w:pPr>
      <w:r>
        <w:rPr>
          <w:rFonts w:hint="eastAsia" w:ascii="宋体" w:hAnsi="宋体" w:eastAsia="宋体" w:cs="Times New Roman"/>
          <w:color w:val="auto"/>
          <w:kern w:val="2"/>
          <w:sz w:val="44"/>
          <w:szCs w:val="44"/>
          <w:lang w:val="en-US" w:eastAsia="zh-CN" w:bidi="ar-SA"/>
        </w:rPr>
        <w:t>报 价 表</w:t>
      </w:r>
    </w:p>
    <w:p w14:paraId="48AFDA28">
      <w:pPr>
        <w:spacing w:line="360" w:lineRule="auto"/>
        <w:ind w:firstLine="3640" w:firstLineChars="1300"/>
        <w:rPr>
          <w:rFonts w:hint="eastAsia" w:ascii="宋体" w:hAnsi="宋体" w:eastAsia="宋体" w:cs="Times New Roman"/>
          <w:color w:val="auto"/>
          <w:kern w:val="2"/>
          <w:sz w:val="28"/>
          <w:szCs w:val="28"/>
          <w:lang w:val="en-US" w:eastAsia="zh-CN" w:bidi="ar-SA"/>
        </w:rPr>
      </w:pPr>
    </w:p>
    <w:p w14:paraId="76030300">
      <w:pPr>
        <w:spacing w:line="360" w:lineRule="auto"/>
        <w:rPr>
          <w:rFonts w:hint="eastAsia" w:ascii="宋体" w:hAnsi="宋体" w:eastAsia="宋体" w:cs="Times New Roman"/>
          <w:color w:val="auto"/>
          <w:kern w:val="2"/>
          <w:sz w:val="28"/>
          <w:szCs w:val="28"/>
          <w:u w:val="single"/>
          <w:lang w:val="en-US" w:eastAsia="zh-CN" w:bidi="ar-SA"/>
        </w:rPr>
      </w:pPr>
      <w:r>
        <w:rPr>
          <w:rFonts w:hint="eastAsia" w:ascii="宋体" w:hAnsi="宋体" w:eastAsia="宋体" w:cs="Times New Roman"/>
          <w:color w:val="auto"/>
          <w:kern w:val="2"/>
          <w:sz w:val="28"/>
          <w:szCs w:val="28"/>
          <w:lang w:val="en-US" w:eastAsia="zh-CN" w:bidi="ar-SA"/>
        </w:rPr>
        <w:t>投标单位（公章）：</w:t>
      </w:r>
      <w:r>
        <w:rPr>
          <w:rFonts w:hint="eastAsia" w:ascii="宋体" w:hAnsi="宋体" w:eastAsia="宋体" w:cs="Times New Roman"/>
          <w:color w:val="auto"/>
          <w:kern w:val="2"/>
          <w:sz w:val="28"/>
          <w:szCs w:val="28"/>
          <w:u w:val="single"/>
          <w:lang w:val="en-US" w:eastAsia="zh-CN" w:bidi="ar-SA"/>
        </w:rPr>
        <w:t xml:space="preserve">                                </w:t>
      </w:r>
    </w:p>
    <w:p w14:paraId="4368F633">
      <w:pPr>
        <w:spacing w:line="360" w:lineRule="auto"/>
        <w:ind w:firstLine="3640" w:firstLineChars="1300"/>
        <w:rPr>
          <w:rFonts w:hint="eastAsia" w:ascii="宋体" w:hAnsi="宋体" w:eastAsia="宋体" w:cs="Times New Roman"/>
          <w:color w:val="auto"/>
          <w:kern w:val="2"/>
          <w:sz w:val="28"/>
          <w:szCs w:val="28"/>
          <w:lang w:val="en-US" w:eastAsia="zh-CN" w:bidi="ar-SA"/>
        </w:rPr>
      </w:pPr>
    </w:p>
    <w:p w14:paraId="76372BF3">
      <w:pPr>
        <w:spacing w:line="360" w:lineRule="auto"/>
        <w:ind w:left="1400" w:hanging="1400" w:hangingChars="500"/>
        <w:rPr>
          <w:rFonts w:hint="eastAsia" w:ascii="宋体" w:hAnsi="宋体" w:eastAsia="宋体" w:cs="Times New Roman"/>
          <w:color w:val="auto"/>
          <w:kern w:val="2"/>
          <w:sz w:val="28"/>
          <w:szCs w:val="28"/>
          <w:u w:val="single"/>
          <w:lang w:val="en-US" w:eastAsia="zh-CN" w:bidi="ar-SA"/>
        </w:rPr>
      </w:pPr>
      <w:r>
        <w:rPr>
          <w:rFonts w:hint="eastAsia" w:ascii="宋体" w:hAnsi="宋体" w:eastAsia="宋体" w:cs="Times New Roman"/>
          <w:color w:val="auto"/>
          <w:kern w:val="2"/>
          <w:sz w:val="28"/>
          <w:szCs w:val="28"/>
          <w:lang w:val="en-US" w:eastAsia="zh-CN" w:bidi="ar-SA"/>
        </w:rPr>
        <w:t>项目名称：</w:t>
      </w:r>
      <w:r>
        <w:rPr>
          <w:rFonts w:hint="eastAsia" w:ascii="宋体" w:hAnsi="宋体" w:eastAsia="宋体" w:cs="宋体"/>
          <w:color w:val="auto"/>
          <w:sz w:val="28"/>
          <w:szCs w:val="28"/>
          <w:u w:val="single"/>
          <w:lang w:val="en-US" w:eastAsia="zh-CN"/>
        </w:rPr>
        <w:t>金澜湾小区11套多层住宅评估</w:t>
      </w:r>
    </w:p>
    <w:p w14:paraId="6E29A566">
      <w:pPr>
        <w:spacing w:line="360" w:lineRule="auto"/>
        <w:ind w:firstLine="3640" w:firstLineChars="1300"/>
        <w:rPr>
          <w:rFonts w:hint="default" w:ascii="宋体" w:hAnsi="宋体" w:eastAsia="宋体" w:cs="Times New Roman"/>
          <w:color w:val="auto"/>
          <w:kern w:val="2"/>
          <w:sz w:val="28"/>
          <w:szCs w:val="28"/>
          <w:lang w:val="en-US" w:eastAsia="zh-CN" w:bidi="ar-SA"/>
        </w:rPr>
      </w:pPr>
    </w:p>
    <w:p w14:paraId="17FDB5D1">
      <w:pPr>
        <w:spacing w:line="360" w:lineRule="auto"/>
        <w:rPr>
          <w:rFonts w:hint="default"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项目编号：</w:t>
      </w:r>
      <w:r>
        <w:rPr>
          <w:rFonts w:hint="eastAsia" w:ascii="宋体" w:hAnsi="宋体" w:eastAsia="宋体" w:cs="宋体"/>
          <w:color w:val="auto"/>
          <w:kern w:val="2"/>
          <w:sz w:val="28"/>
          <w:szCs w:val="28"/>
          <w:u w:val="single"/>
          <w:lang w:val="en-US" w:eastAsia="zh-CN" w:bidi="ar-SA"/>
        </w:rPr>
        <w:t>HCCT2025022号</w:t>
      </w:r>
      <w:r>
        <w:rPr>
          <w:rFonts w:hint="eastAsia" w:ascii="宋体" w:hAnsi="宋体" w:eastAsia="宋体" w:cs="Times New Roman"/>
          <w:color w:val="auto"/>
          <w:kern w:val="2"/>
          <w:sz w:val="28"/>
          <w:szCs w:val="28"/>
          <w:lang w:val="en-US" w:eastAsia="zh-CN" w:bidi="ar-SA"/>
        </w:rPr>
        <w:t xml:space="preserve">   </w:t>
      </w:r>
    </w:p>
    <w:p w14:paraId="4351ABBB">
      <w:pPr>
        <w:spacing w:line="360" w:lineRule="auto"/>
        <w:rPr>
          <w:rFonts w:hint="eastAsia" w:ascii="宋体" w:hAnsi="宋体" w:eastAsia="宋体" w:cs="Times New Roman"/>
          <w:color w:val="auto"/>
          <w:kern w:val="2"/>
          <w:sz w:val="28"/>
          <w:szCs w:val="28"/>
          <w:lang w:val="en-US" w:eastAsia="zh-CN" w:bidi="ar-SA"/>
        </w:rPr>
      </w:pPr>
    </w:p>
    <w:p w14:paraId="141442CD">
      <w:pPr>
        <w:spacing w:line="360" w:lineRule="auto"/>
        <w:rPr>
          <w:rFonts w:hint="eastAsia" w:ascii="宋体" w:hAnsi="宋体" w:eastAsia="宋体" w:cs="Times New Roman"/>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下浮系数</w:t>
      </w:r>
      <w:r>
        <w:rPr>
          <w:rFonts w:hint="eastAsia" w:ascii="宋体" w:hAnsi="宋体" w:eastAsia="宋体" w:cs="Times New Roman"/>
          <w:color w:val="auto"/>
          <w:kern w:val="2"/>
          <w:sz w:val="28"/>
          <w:szCs w:val="28"/>
          <w:lang w:val="en-US" w:eastAsia="zh-CN" w:bidi="ar-SA"/>
        </w:rPr>
        <w:t>：</w:t>
      </w:r>
      <w:r>
        <w:rPr>
          <w:rFonts w:hint="eastAsia" w:ascii="宋体" w:hAnsi="宋体" w:eastAsia="宋体" w:cs="Times New Roman"/>
          <w:color w:val="auto"/>
          <w:kern w:val="2"/>
          <w:sz w:val="28"/>
          <w:szCs w:val="28"/>
          <w:u w:val="single"/>
          <w:lang w:val="en-US" w:eastAsia="zh-CN" w:bidi="ar-SA"/>
        </w:rPr>
        <w:t xml:space="preserve">                           </w:t>
      </w:r>
      <w:r>
        <w:rPr>
          <w:rFonts w:hint="eastAsia" w:ascii="宋体" w:hAnsi="宋体" w:eastAsia="宋体" w:cs="Times New Roman"/>
          <w:color w:val="auto"/>
          <w:kern w:val="2"/>
          <w:sz w:val="28"/>
          <w:szCs w:val="28"/>
          <w:lang w:val="en-US" w:eastAsia="zh-CN" w:bidi="ar-SA"/>
        </w:rPr>
        <w:t xml:space="preserve">   </w:t>
      </w:r>
    </w:p>
    <w:p w14:paraId="7020A213">
      <w:pPr>
        <w:spacing w:line="360" w:lineRule="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 xml:space="preserve">                                   </w:t>
      </w:r>
    </w:p>
    <w:p w14:paraId="013BEA07">
      <w:pPr>
        <w:spacing w:line="360" w:lineRule="auto"/>
        <w:ind w:firstLine="1120" w:firstLineChars="400"/>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 xml:space="preserve">                                 </w:t>
      </w:r>
    </w:p>
    <w:p w14:paraId="13D06F7A">
      <w:pPr>
        <w:spacing w:line="360" w:lineRule="auto"/>
        <w:ind w:firstLine="3640" w:firstLineChars="1300"/>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 xml:space="preserve">                                </w:t>
      </w:r>
    </w:p>
    <w:p w14:paraId="5FAA181A">
      <w:pPr>
        <w:spacing w:line="360" w:lineRule="auto"/>
        <w:ind w:firstLine="4760" w:firstLineChars="1700"/>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 xml:space="preserve">年   月   日                    </w:t>
      </w:r>
    </w:p>
    <w:p w14:paraId="4909295B">
      <w:pPr>
        <w:pStyle w:val="3"/>
        <w:jc w:val="both"/>
        <w:rPr>
          <w:rFonts w:hint="eastAsia" w:hAnsi="宋体" w:eastAsia="宋体" w:cs="Times New Roman"/>
          <w:color w:val="auto"/>
        </w:rPr>
      </w:pPr>
    </w:p>
    <w:p w14:paraId="25F0276D">
      <w:pPr>
        <w:pStyle w:val="2"/>
        <w:rPr>
          <w:rFonts w:hint="eastAsia" w:hAnsi="宋体" w:eastAsia="宋体" w:cs="Times New Roman"/>
          <w:color w:val="auto"/>
        </w:rPr>
      </w:pPr>
    </w:p>
    <w:p w14:paraId="2580A4F0">
      <w:pPr>
        <w:pStyle w:val="2"/>
        <w:rPr>
          <w:rFonts w:hint="eastAsia" w:hAnsi="宋体" w:eastAsia="宋体" w:cs="Times New Roman"/>
          <w:color w:val="auto"/>
        </w:rPr>
      </w:pPr>
    </w:p>
    <w:p w14:paraId="038A1359">
      <w:pPr>
        <w:pStyle w:val="2"/>
        <w:rPr>
          <w:rFonts w:hint="eastAsia" w:hAnsi="宋体" w:eastAsia="宋体" w:cs="Times New Roman"/>
          <w:color w:val="auto"/>
        </w:rPr>
      </w:pPr>
    </w:p>
    <w:p w14:paraId="70DE8058">
      <w:pPr>
        <w:rPr>
          <w:rFonts w:hint="eastAsia"/>
          <w:color w:val="auto"/>
        </w:rPr>
      </w:pPr>
    </w:p>
    <w:p w14:paraId="3693401D">
      <w:pPr>
        <w:rPr>
          <w:rFonts w:hint="eastAsia" w:ascii="仿宋_GB2312" w:eastAsia="仿宋_GB2312" w:hAnsiTheme="minorHAnsi" w:cstheme="minorBidi"/>
          <w:b/>
          <w:bCs/>
          <w:color w:val="auto"/>
          <w:sz w:val="32"/>
          <w:szCs w:val="32"/>
          <w:lang w:eastAsia="zh-CN"/>
        </w:rPr>
      </w:pPr>
      <w:r>
        <w:rPr>
          <w:rFonts w:hint="eastAsia" w:ascii="仿宋_GB2312" w:eastAsia="仿宋_GB2312"/>
          <w:b/>
          <w:bCs/>
          <w:color w:val="auto"/>
        </w:rPr>
        <w:t>注：</w:t>
      </w:r>
      <w:r>
        <w:rPr>
          <w:rFonts w:hint="eastAsia" w:ascii="仿宋_GB2312" w:eastAsia="仿宋_GB2312"/>
          <w:b/>
          <w:bCs/>
          <w:color w:val="auto"/>
          <w:lang w:val="en-US" w:eastAsia="zh-CN"/>
        </w:rPr>
        <w:t xml:space="preserve">有效报价为0&lt;下浮系数&lt;100%。  </w:t>
      </w:r>
    </w:p>
    <w:p w14:paraId="205226DA">
      <w:pPr>
        <w:pStyle w:val="15"/>
        <w:rPr>
          <w:rFonts w:hint="default"/>
          <w:color w:val="auto"/>
          <w:lang w:val="en-US" w:eastAsia="zh-CN"/>
        </w:rPr>
      </w:pPr>
    </w:p>
    <w:p w14:paraId="1636F19F">
      <w:pPr>
        <w:pStyle w:val="2"/>
      </w:pPr>
    </w:p>
    <w:p w14:paraId="7B00CF67">
      <w:pPr>
        <w:pStyle w:val="2"/>
      </w:pPr>
    </w:p>
    <w:p w14:paraId="10807AC7">
      <w:pPr>
        <w:pStyle w:val="2"/>
      </w:pPr>
    </w:p>
    <w:p w14:paraId="40E07947">
      <w:pPr>
        <w:pStyle w:val="2"/>
      </w:pPr>
    </w:p>
    <w:p w14:paraId="3AFC0BE0">
      <w:pPr>
        <w:pStyle w:val="2"/>
      </w:pPr>
    </w:p>
    <w:p w14:paraId="1F410DC0">
      <w:pPr>
        <w:pStyle w:val="2"/>
      </w:pPr>
    </w:p>
    <w:p w14:paraId="6F5A61FC">
      <w:pPr>
        <w:pStyle w:val="2"/>
      </w:pPr>
    </w:p>
    <w:p w14:paraId="4FD77632">
      <w:pPr>
        <w:pStyle w:val="2"/>
      </w:pPr>
    </w:p>
    <w:p w14:paraId="5570226A">
      <w:pPr>
        <w:jc w:val="left"/>
        <w:rPr>
          <w:rFonts w:hint="default" w:ascii="Times New Roman" w:hAnsi="Times New Roman" w:eastAsia="华文中宋"/>
          <w:b w:val="0"/>
          <w:bCs/>
          <w:color w:val="000000"/>
          <w:sz w:val="21"/>
          <w:szCs w:val="21"/>
          <w:highlight w:val="none"/>
          <w:lang w:val="en-US" w:eastAsia="zh-CN"/>
        </w:rPr>
      </w:pPr>
      <w:r>
        <w:rPr>
          <w:rFonts w:hint="eastAsia" w:ascii="Times New Roman" w:hAnsi="Times New Roman" w:eastAsia="华文中宋"/>
          <w:b w:val="0"/>
          <w:bCs/>
          <w:color w:val="000000"/>
          <w:sz w:val="21"/>
          <w:szCs w:val="21"/>
          <w:highlight w:val="none"/>
          <w:lang w:eastAsia="zh-CN"/>
        </w:rPr>
        <w:t>附件</w:t>
      </w:r>
      <w:r>
        <w:rPr>
          <w:rFonts w:hint="eastAsia" w:ascii="Times New Roman" w:hAnsi="Times New Roman" w:eastAsia="华文中宋"/>
          <w:b w:val="0"/>
          <w:bCs/>
          <w:color w:val="000000"/>
          <w:sz w:val="21"/>
          <w:szCs w:val="21"/>
          <w:highlight w:val="none"/>
          <w:lang w:val="en-US" w:eastAsia="zh-CN"/>
        </w:rPr>
        <w:t>2</w:t>
      </w:r>
    </w:p>
    <w:p w14:paraId="7414D4F6">
      <w:pPr>
        <w:keepNext w:val="0"/>
        <w:keepLines w:val="0"/>
        <w:pageBreakBefore w:val="0"/>
        <w:widowControl w:val="0"/>
        <w:kinsoku/>
        <w:wordWrap/>
        <w:overflowPunct/>
        <w:topLinePunct w:val="0"/>
        <w:autoSpaceDE/>
        <w:bidi w:val="0"/>
        <w:adjustRightInd/>
        <w:spacing w:line="560" w:lineRule="exact"/>
        <w:jc w:val="center"/>
        <w:textAlignment w:val="auto"/>
        <w:rPr>
          <w:rFonts w:hint="eastAsia" w:ascii="仿宋_GB2312" w:hAnsi="宋体" w:eastAsia="仿宋_GB2312" w:cs="方正小标宋简体"/>
          <w:b/>
          <w:sz w:val="44"/>
          <w:szCs w:val="44"/>
        </w:rPr>
      </w:pPr>
      <w:r>
        <w:rPr>
          <w:rFonts w:hint="eastAsia" w:ascii="仿宋_GB2312" w:hAnsi="宋体" w:eastAsia="仿宋_GB2312" w:cs="方正小标宋简体"/>
          <w:b/>
          <w:sz w:val="44"/>
          <w:szCs w:val="44"/>
        </w:rPr>
        <w:t>房地产估价合同</w:t>
      </w:r>
    </w:p>
    <w:p w14:paraId="697E9FDF">
      <w:pPr>
        <w:keepNext w:val="0"/>
        <w:keepLines w:val="0"/>
        <w:pageBreakBefore w:val="0"/>
        <w:widowControl w:val="0"/>
        <w:kinsoku/>
        <w:wordWrap/>
        <w:overflowPunct/>
        <w:topLinePunct w:val="0"/>
        <w:autoSpaceDE/>
        <w:bidi w:val="0"/>
        <w:adjustRightInd/>
        <w:spacing w:line="560" w:lineRule="exact"/>
        <w:textAlignment w:val="auto"/>
        <w:rPr>
          <w:rFonts w:hint="eastAsia" w:ascii="仿宋_GB2312" w:eastAsia="仿宋_GB2312"/>
          <w:sz w:val="28"/>
        </w:rPr>
      </w:pPr>
      <w:r>
        <w:rPr>
          <w:rFonts w:hint="eastAsia" w:ascii="仿宋_GB2312" w:eastAsia="仿宋_GB2312"/>
          <w:sz w:val="28"/>
        </w:rPr>
        <w:t xml:space="preserve">                                    </w:t>
      </w:r>
    </w:p>
    <w:p w14:paraId="3E52B358">
      <w:pPr>
        <w:keepNext w:val="0"/>
        <w:keepLines w:val="0"/>
        <w:pageBreakBefore w:val="0"/>
        <w:widowControl w:val="0"/>
        <w:kinsoku/>
        <w:wordWrap/>
        <w:overflowPunct/>
        <w:topLinePunct w:val="0"/>
        <w:autoSpaceDE/>
        <w:bidi w:val="0"/>
        <w:adjustRightInd/>
        <w:spacing w:line="560" w:lineRule="exact"/>
        <w:textAlignment w:val="auto"/>
        <w:rPr>
          <w:rFonts w:hint="eastAsia" w:ascii="仿宋_GB2312" w:eastAsia="仿宋_GB2312"/>
          <w:sz w:val="28"/>
        </w:rPr>
      </w:pPr>
      <w:r>
        <w:rPr>
          <w:rFonts w:hint="eastAsia" w:ascii="仿宋_GB2312" w:eastAsia="仿宋_GB2312"/>
          <w:b/>
          <w:sz w:val="28"/>
        </w:rPr>
        <w:t>委  托  方：</w:t>
      </w:r>
      <w:r>
        <w:rPr>
          <w:rFonts w:hint="eastAsia" w:ascii="仿宋_GB2312" w:eastAsia="仿宋_GB2312"/>
          <w:color w:val="auto"/>
          <w:sz w:val="28"/>
          <w:u w:val="single"/>
          <w:lang w:val="en-US" w:eastAsia="zh-CN"/>
        </w:rPr>
        <w:t>河池市城市投资建设发展有限公司</w:t>
      </w:r>
      <w:r>
        <w:rPr>
          <w:rFonts w:hint="eastAsia" w:ascii="仿宋_GB2312" w:eastAsia="仿宋_GB2312"/>
          <w:sz w:val="28"/>
        </w:rPr>
        <w:t>（以下简称甲方）</w:t>
      </w:r>
    </w:p>
    <w:p w14:paraId="5EF8F2DA">
      <w:pPr>
        <w:keepNext w:val="0"/>
        <w:keepLines w:val="0"/>
        <w:pageBreakBefore w:val="0"/>
        <w:widowControl w:val="0"/>
        <w:kinsoku/>
        <w:wordWrap/>
        <w:overflowPunct/>
        <w:topLinePunct w:val="0"/>
        <w:autoSpaceDE/>
        <w:bidi w:val="0"/>
        <w:adjustRightInd/>
        <w:spacing w:line="560" w:lineRule="exact"/>
        <w:textAlignment w:val="auto"/>
        <w:rPr>
          <w:rFonts w:hint="eastAsia" w:ascii="仿宋_GB2312" w:eastAsia="仿宋_GB2312"/>
        </w:rPr>
      </w:pPr>
      <w:r>
        <w:rPr>
          <w:rFonts w:hint="eastAsia" w:ascii="仿宋_GB2312" w:eastAsia="仿宋_GB2312"/>
          <w:b/>
          <w:sz w:val="28"/>
        </w:rPr>
        <w:t>受理估价方：</w:t>
      </w:r>
      <w:r>
        <w:rPr>
          <w:rFonts w:hint="eastAsia" w:ascii="仿宋_GB2312" w:eastAsia="仿宋_GB2312"/>
          <w:b/>
          <w:sz w:val="28"/>
          <w:u w:val="single"/>
          <w:lang w:val="en-US" w:eastAsia="zh-CN"/>
        </w:rPr>
        <w:t xml:space="preserve">                              </w:t>
      </w:r>
      <w:r>
        <w:rPr>
          <w:rFonts w:hint="eastAsia" w:ascii="仿宋_GB2312" w:eastAsia="仿宋_GB2312"/>
          <w:sz w:val="28"/>
        </w:rPr>
        <w:t xml:space="preserve">（以下简称乙方）   </w:t>
      </w:r>
    </w:p>
    <w:p w14:paraId="126E727E">
      <w:pPr>
        <w:keepNext w:val="0"/>
        <w:keepLines w:val="0"/>
        <w:pageBreakBefore w:val="0"/>
        <w:widowControl w:val="0"/>
        <w:kinsoku/>
        <w:wordWrap/>
        <w:overflowPunct/>
        <w:topLinePunct w:val="0"/>
        <w:autoSpaceDE/>
        <w:bidi w:val="0"/>
        <w:adjustRightInd/>
        <w:spacing w:line="560" w:lineRule="exact"/>
        <w:ind w:firstLine="560" w:firstLineChars="200"/>
        <w:textAlignment w:val="auto"/>
        <w:rPr>
          <w:rFonts w:hint="eastAsia" w:ascii="仿宋_GB2312" w:eastAsia="仿宋_GB2312"/>
          <w:color w:val="auto"/>
          <w:sz w:val="28"/>
          <w:highlight w:val="none"/>
        </w:rPr>
      </w:pPr>
      <w:r>
        <w:rPr>
          <w:rFonts w:hint="eastAsia" w:ascii="仿宋_GB2312" w:eastAsia="仿宋_GB2312"/>
          <w:sz w:val="28"/>
        </w:rPr>
        <w:t>根据《中华人民共和国民法典》《中华人民共和国资产评估法》《中华人民共和国土地管理法》</w:t>
      </w:r>
      <w:r>
        <w:rPr>
          <w:rFonts w:ascii="仿宋_GB2312" w:eastAsia="仿宋_GB2312"/>
          <w:sz w:val="28"/>
        </w:rPr>
        <w:t>《中华人民共和国城市房地产管理法》</w:t>
      </w:r>
      <w:r>
        <w:rPr>
          <w:rFonts w:hint="eastAsia" w:ascii="仿宋_GB2312" w:eastAsia="仿宋_GB2312"/>
          <w:sz w:val="28"/>
        </w:rPr>
        <w:t>等有关法律法规及文件</w:t>
      </w:r>
      <w:r>
        <w:rPr>
          <w:rFonts w:hint="eastAsia" w:ascii="仿宋_GB2312" w:eastAsia="仿宋_GB2312"/>
          <w:sz w:val="28"/>
          <w:lang w:val="en-US" w:eastAsia="zh-CN"/>
        </w:rPr>
        <w:t>的</w:t>
      </w:r>
      <w:r>
        <w:rPr>
          <w:rFonts w:hint="eastAsia" w:ascii="仿宋_GB2312" w:eastAsia="仿宋_GB2312"/>
          <w:sz w:val="28"/>
        </w:rPr>
        <w:t>规定，</w:t>
      </w:r>
      <w:r>
        <w:rPr>
          <w:rFonts w:hint="eastAsia" w:ascii="仿宋_GB2312" w:eastAsia="仿宋_GB2312"/>
          <w:sz w:val="28"/>
          <w:lang w:val="en-US" w:eastAsia="zh-CN"/>
        </w:rPr>
        <w:t>本着平等互利、协商一致的原则</w:t>
      </w:r>
      <w:r>
        <w:rPr>
          <w:rFonts w:hint="eastAsia" w:ascii="仿宋_GB2312" w:eastAsia="仿宋_GB2312"/>
          <w:sz w:val="28"/>
        </w:rPr>
        <w:t>，就</w:t>
      </w:r>
      <w:r>
        <w:rPr>
          <w:rFonts w:hint="eastAsia" w:ascii="仿宋_GB2312" w:eastAsia="仿宋_GB2312"/>
          <w:color w:val="auto"/>
          <w:sz w:val="28"/>
          <w:highlight w:val="none"/>
          <w:lang w:val="en-US" w:eastAsia="zh-CN"/>
        </w:rPr>
        <w:t>城投</w:t>
      </w:r>
      <w:r>
        <w:rPr>
          <w:rFonts w:hint="eastAsia" w:ascii="仿宋_GB2312" w:hAnsi="仿宋_GB2312" w:eastAsia="仿宋_GB2312" w:cs="仿宋_GB2312"/>
          <w:color w:val="auto"/>
          <w:sz w:val="28"/>
          <w:highlight w:val="none"/>
          <w:lang w:val="en-US" w:eastAsia="zh-CN"/>
        </w:rPr>
        <w:t>·金澜湾11套多层住宅评估</w:t>
      </w:r>
      <w:r>
        <w:rPr>
          <w:rFonts w:hint="eastAsia" w:ascii="仿宋_GB2312" w:eastAsia="仿宋_GB2312"/>
          <w:color w:val="auto"/>
          <w:sz w:val="28"/>
          <w:highlight w:val="none"/>
        </w:rPr>
        <w:t>事宜订立本合同，内容如下：</w:t>
      </w:r>
    </w:p>
    <w:p w14:paraId="0E783C95">
      <w:pPr>
        <w:keepNext w:val="0"/>
        <w:keepLines w:val="0"/>
        <w:pageBreakBefore w:val="0"/>
        <w:widowControl w:val="0"/>
        <w:kinsoku/>
        <w:wordWrap/>
        <w:overflowPunct/>
        <w:topLinePunct w:val="0"/>
        <w:autoSpaceDE/>
        <w:bidi w:val="0"/>
        <w:adjustRightInd/>
        <w:spacing w:line="560" w:lineRule="exact"/>
        <w:ind w:firstLine="562" w:firstLineChars="200"/>
        <w:textAlignment w:val="auto"/>
        <w:rPr>
          <w:rFonts w:hint="eastAsia" w:ascii="仿宋_GB2312" w:eastAsia="仿宋_GB2312"/>
          <w:b/>
          <w:color w:val="auto"/>
          <w:sz w:val="28"/>
          <w:highlight w:val="none"/>
        </w:rPr>
      </w:pPr>
      <w:r>
        <w:rPr>
          <w:rFonts w:hint="eastAsia" w:ascii="仿宋_GB2312" w:eastAsia="仿宋_GB2312"/>
          <w:b/>
          <w:color w:val="auto"/>
          <w:sz w:val="28"/>
          <w:highlight w:val="none"/>
        </w:rPr>
        <w:t>一、估价基本事项：</w:t>
      </w:r>
    </w:p>
    <w:p w14:paraId="7998B14D">
      <w:pPr>
        <w:keepNext w:val="0"/>
        <w:keepLines w:val="0"/>
        <w:pageBreakBefore w:val="0"/>
        <w:widowControl w:val="0"/>
        <w:kinsoku/>
        <w:wordWrap/>
        <w:overflowPunct/>
        <w:topLinePunct w:val="0"/>
        <w:autoSpaceDE/>
        <w:bidi w:val="0"/>
        <w:adjustRightInd/>
        <w:spacing w:line="560" w:lineRule="exact"/>
        <w:ind w:firstLine="560" w:firstLineChars="200"/>
        <w:jc w:val="left"/>
        <w:textAlignment w:val="auto"/>
        <w:rPr>
          <w:rFonts w:hint="eastAsia" w:ascii="仿宋_GB2312" w:eastAsia="仿宋_GB2312"/>
          <w:color w:val="auto"/>
          <w:sz w:val="28"/>
          <w:szCs w:val="28"/>
          <w:highlight w:val="none"/>
          <w:u w:val="single"/>
          <w:lang w:val="en-US" w:eastAsia="zh-CN"/>
        </w:rPr>
      </w:pPr>
      <w:r>
        <w:rPr>
          <w:rFonts w:hint="eastAsia" w:ascii="仿宋_GB2312" w:eastAsia="仿宋_GB2312"/>
          <w:color w:val="auto"/>
          <w:sz w:val="28"/>
          <w:szCs w:val="28"/>
          <w:highlight w:val="none"/>
          <w:lang w:val="en-US" w:eastAsia="zh-CN"/>
        </w:rPr>
        <w:t>1.房地产位置：</w:t>
      </w:r>
      <w:r>
        <w:rPr>
          <w:rFonts w:hint="eastAsia" w:ascii="仿宋_GB2312" w:eastAsia="仿宋_GB2312"/>
          <w:color w:val="auto"/>
          <w:sz w:val="28"/>
          <w:szCs w:val="28"/>
          <w:highlight w:val="none"/>
          <w:u w:val="single"/>
          <w:lang w:val="en-US" w:eastAsia="zh-CN"/>
        </w:rPr>
        <w:t>河池市金城江区上任南路1号</w:t>
      </w:r>
    </w:p>
    <w:p w14:paraId="03C56653">
      <w:pPr>
        <w:pStyle w:val="2"/>
        <w:keepNext w:val="0"/>
        <w:keepLines w:val="0"/>
        <w:pageBreakBefore w:val="0"/>
        <w:widowControl w:val="0"/>
        <w:kinsoku/>
        <w:wordWrap/>
        <w:overflowPunct/>
        <w:topLinePunct w:val="0"/>
        <w:autoSpaceDE/>
        <w:bidi w:val="0"/>
        <w:adjustRightInd/>
        <w:spacing w:line="560" w:lineRule="exact"/>
        <w:textAlignment w:val="auto"/>
        <w:rPr>
          <w:rFonts w:hint="default" w:ascii="仿宋_GB2312" w:hAnsi="仿宋_GB2312" w:eastAsia="仿宋_GB2312" w:cs="仿宋_GB2312"/>
          <w:u w:val="none"/>
          <w:lang w:val="en-US" w:eastAsia="zh-CN"/>
        </w:rPr>
      </w:pPr>
      <w:r>
        <w:rPr>
          <w:rFonts w:hint="eastAsia"/>
          <w:u w:val="none"/>
          <w:lang w:val="en-US" w:eastAsia="zh-CN"/>
        </w:rPr>
        <w:t xml:space="preserve">     </w:t>
      </w:r>
      <w:r>
        <w:rPr>
          <w:rFonts w:hint="eastAsia" w:ascii="仿宋_GB2312" w:hAnsi="Times New Roman" w:eastAsia="仿宋_GB2312" w:cs="Times New Roman"/>
          <w:kern w:val="2"/>
          <w:sz w:val="28"/>
          <w:szCs w:val="24"/>
          <w:lang w:val="en-US" w:eastAsia="zh-CN" w:bidi="ar-SA"/>
        </w:rPr>
        <w:t xml:space="preserve"> 2.房屋用途：</w:t>
      </w:r>
      <w:r>
        <w:rPr>
          <w:rFonts w:hint="eastAsia" w:ascii="仿宋_GB2312" w:hAnsi="Times New Roman" w:eastAsia="仿宋_GB2312" w:cs="Times New Roman"/>
          <w:kern w:val="2"/>
          <w:sz w:val="28"/>
          <w:szCs w:val="24"/>
          <w:u w:val="single"/>
          <w:lang w:val="en-US" w:eastAsia="zh-CN" w:bidi="ar-SA"/>
        </w:rPr>
        <w:t>商住楼</w:t>
      </w:r>
      <w:r>
        <w:rPr>
          <w:rFonts w:hint="eastAsia" w:ascii="仿宋_GB2312" w:hAnsi="Times New Roman" w:eastAsia="仿宋_GB2312" w:cs="Times New Roman"/>
          <w:kern w:val="2"/>
          <w:sz w:val="28"/>
          <w:szCs w:val="24"/>
          <w:u w:val="none"/>
          <w:lang w:val="en-US" w:eastAsia="zh-CN" w:bidi="ar-SA"/>
        </w:rPr>
        <w:t>；</w:t>
      </w:r>
    </w:p>
    <w:p w14:paraId="383FAF3A">
      <w:pPr>
        <w:keepNext w:val="0"/>
        <w:keepLines w:val="0"/>
        <w:pageBreakBefore w:val="0"/>
        <w:widowControl w:val="0"/>
        <w:kinsoku/>
        <w:wordWrap/>
        <w:overflowPunct/>
        <w:topLinePunct w:val="0"/>
        <w:autoSpaceDE/>
        <w:bidi w:val="0"/>
        <w:adjustRightInd/>
        <w:spacing w:line="560" w:lineRule="exact"/>
        <w:ind w:firstLine="560" w:firstLineChars="200"/>
        <w:jc w:val="left"/>
        <w:textAlignment w:val="auto"/>
        <w:rPr>
          <w:rFonts w:hint="eastAsia" w:ascii="仿宋_GB2312" w:eastAsia="仿宋_GB2312"/>
          <w:color w:val="auto"/>
          <w:sz w:val="28"/>
          <w:szCs w:val="28"/>
          <w:highlight w:val="none"/>
          <w:u w:val="single"/>
        </w:rPr>
      </w:pP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.估价目的</w:t>
      </w:r>
      <w:r>
        <w:rPr>
          <w:rFonts w:hint="eastAsia" w:ascii="仿宋_GB2312" w:eastAsia="仿宋_GB2312"/>
          <w:color w:val="auto"/>
          <w:sz w:val="28"/>
          <w:highlight w:val="none"/>
        </w:rPr>
        <w:t>：</w:t>
      </w:r>
      <w:r>
        <w:rPr>
          <w:rFonts w:hint="eastAsia" w:ascii="仿宋_GB2312" w:eastAsia="仿宋_GB2312"/>
          <w:color w:val="auto"/>
          <w:sz w:val="28"/>
          <w:szCs w:val="28"/>
          <w:highlight w:val="none"/>
          <w:u w:val="single"/>
          <w:lang w:val="en-US" w:eastAsia="zh-CN"/>
        </w:rPr>
        <w:t>了解金澜湾11套多层住宅当前市场销售价值</w:t>
      </w:r>
      <w:r>
        <w:rPr>
          <w:rFonts w:hint="eastAsia" w:ascii="仿宋_GB2312" w:eastAsia="仿宋_GB2312"/>
          <w:color w:val="auto"/>
          <w:sz w:val="28"/>
          <w:szCs w:val="28"/>
          <w:highlight w:val="none"/>
          <w:u w:val="none"/>
          <w:lang w:val="en-US" w:eastAsia="zh-CN"/>
        </w:rPr>
        <w:t>；</w:t>
      </w:r>
    </w:p>
    <w:p w14:paraId="18D0839F">
      <w:pPr>
        <w:keepNext w:val="0"/>
        <w:keepLines w:val="0"/>
        <w:pageBreakBefore w:val="0"/>
        <w:widowControl w:val="0"/>
        <w:kinsoku/>
        <w:wordWrap/>
        <w:overflowPunct/>
        <w:topLinePunct w:val="0"/>
        <w:autoSpaceDE/>
        <w:bidi w:val="0"/>
        <w:adjustRightInd/>
        <w:spacing w:line="560" w:lineRule="exact"/>
        <w:ind w:firstLine="560" w:firstLineChars="200"/>
        <w:textAlignment w:val="auto"/>
        <w:rPr>
          <w:rFonts w:hint="eastAsia" w:ascii="仿宋_GB2312" w:hAnsi="Times New Roman" w:eastAsia="仿宋_GB2312" w:cs="Times New Roman"/>
          <w:color w:val="auto"/>
          <w:sz w:val="28"/>
          <w:highlight w:val="none"/>
        </w:rPr>
      </w:pPr>
      <w:r>
        <w:rPr>
          <w:rFonts w:hint="eastAsia" w:ascii="仿宋_GB2312" w:hAnsi="Times New Roman" w:eastAsia="仿宋_GB2312" w:cs="Times New Roman"/>
          <w:color w:val="auto"/>
          <w:sz w:val="28"/>
          <w:highlight w:val="none"/>
          <w:lang w:val="en-US" w:eastAsia="zh-CN"/>
        </w:rPr>
        <w:t>4</w:t>
      </w:r>
      <w:r>
        <w:rPr>
          <w:rFonts w:hint="eastAsia" w:ascii="仿宋_GB2312" w:hAnsi="Times New Roman" w:eastAsia="仿宋_GB2312" w:cs="Times New Roman"/>
          <w:color w:val="auto"/>
          <w:sz w:val="28"/>
          <w:highlight w:val="none"/>
        </w:rPr>
        <w:t>.</w:t>
      </w:r>
      <w:r>
        <w:rPr>
          <w:rFonts w:hint="eastAsia" w:ascii="仿宋_GB2312" w:hAnsi="Times New Roman" w:eastAsia="仿宋_GB2312" w:cs="Times New Roman"/>
          <w:color w:val="auto"/>
          <w:sz w:val="28"/>
          <w:highlight w:val="none"/>
          <w:lang w:val="en-US" w:eastAsia="zh-CN"/>
        </w:rPr>
        <w:t>评估基准日</w:t>
      </w:r>
      <w:r>
        <w:rPr>
          <w:rFonts w:hint="eastAsia" w:ascii="仿宋_GB2312" w:hAnsi="Times New Roman" w:eastAsia="仿宋_GB2312" w:cs="Times New Roman"/>
          <w:color w:val="auto"/>
          <w:sz w:val="28"/>
          <w:highlight w:val="none"/>
        </w:rPr>
        <w:t>：</w:t>
      </w:r>
      <w:r>
        <w:rPr>
          <w:rFonts w:hint="eastAsia" w:ascii="仿宋_GB2312" w:hAnsi="Times New Roman" w:eastAsia="仿宋_GB2312" w:cs="Times New Roman"/>
          <w:color w:val="auto"/>
          <w:sz w:val="28"/>
          <w:highlight w:val="none"/>
          <w:u w:val="single"/>
        </w:rPr>
        <w:t xml:space="preserve"> </w:t>
      </w:r>
      <w:r>
        <w:rPr>
          <w:rFonts w:hint="eastAsia" w:ascii="仿宋_GB2312" w:hAnsi="Times New Roman" w:eastAsia="仿宋_GB2312" w:cs="Times New Roman"/>
          <w:color w:val="auto"/>
          <w:sz w:val="28"/>
          <w:highlight w:val="none"/>
          <w:u w:val="single"/>
          <w:lang w:val="en-US" w:eastAsia="zh-CN"/>
        </w:rPr>
        <w:t xml:space="preserve">   </w:t>
      </w:r>
      <w:r>
        <w:rPr>
          <w:rFonts w:hint="eastAsia" w:ascii="仿宋_GB2312" w:hAnsi="Times New Roman" w:eastAsia="仿宋_GB2312" w:cs="Times New Roman"/>
          <w:color w:val="auto"/>
          <w:sz w:val="28"/>
          <w:highlight w:val="none"/>
          <w:lang w:val="en-US" w:eastAsia="zh-CN"/>
        </w:rPr>
        <w:t>年</w:t>
      </w:r>
      <w:r>
        <w:rPr>
          <w:rFonts w:hint="eastAsia" w:ascii="仿宋_GB2312" w:hAnsi="Times New Roman" w:eastAsia="仿宋_GB2312" w:cs="Times New Roman"/>
          <w:color w:val="auto"/>
          <w:sz w:val="28"/>
          <w:highlight w:val="none"/>
          <w:u w:val="single"/>
          <w:lang w:val="en-US" w:eastAsia="zh-CN"/>
        </w:rPr>
        <w:t xml:space="preserve">   </w:t>
      </w:r>
      <w:r>
        <w:rPr>
          <w:rFonts w:hint="eastAsia" w:ascii="仿宋_GB2312" w:hAnsi="Times New Roman" w:eastAsia="仿宋_GB2312" w:cs="Times New Roman"/>
          <w:color w:val="auto"/>
          <w:sz w:val="28"/>
          <w:highlight w:val="none"/>
          <w:lang w:val="en-US" w:eastAsia="zh-CN"/>
        </w:rPr>
        <w:t>月</w:t>
      </w:r>
      <w:r>
        <w:rPr>
          <w:rFonts w:hint="eastAsia" w:ascii="仿宋_GB2312" w:hAnsi="Times New Roman" w:eastAsia="仿宋_GB2312" w:cs="Times New Roman"/>
          <w:color w:val="auto"/>
          <w:sz w:val="28"/>
          <w:highlight w:val="none"/>
          <w:u w:val="single"/>
          <w:lang w:val="en-US" w:eastAsia="zh-CN"/>
        </w:rPr>
        <w:t xml:space="preserve">   </w:t>
      </w:r>
      <w:r>
        <w:rPr>
          <w:rFonts w:hint="eastAsia" w:ascii="仿宋_GB2312" w:hAnsi="Times New Roman" w:eastAsia="仿宋_GB2312" w:cs="Times New Roman"/>
          <w:color w:val="auto"/>
          <w:sz w:val="28"/>
          <w:highlight w:val="none"/>
          <w:lang w:val="en-US" w:eastAsia="zh-CN"/>
        </w:rPr>
        <w:t>日，估价结果反映该时点房地产的客观合理价值；</w:t>
      </w:r>
      <w:r>
        <w:rPr>
          <w:rFonts w:hint="eastAsia" w:ascii="仿宋_GB2312" w:hAnsi="Times New Roman" w:eastAsia="仿宋_GB2312" w:cs="Times New Roman"/>
          <w:color w:val="auto"/>
          <w:sz w:val="28"/>
          <w:highlight w:val="none"/>
        </w:rPr>
        <w:t xml:space="preserve">                              </w:t>
      </w:r>
    </w:p>
    <w:p w14:paraId="14B88F75">
      <w:pPr>
        <w:keepNext w:val="0"/>
        <w:keepLines w:val="0"/>
        <w:pageBreakBefore w:val="0"/>
        <w:widowControl w:val="0"/>
        <w:kinsoku/>
        <w:wordWrap/>
        <w:overflowPunct/>
        <w:topLinePunct w:val="0"/>
        <w:autoSpaceDE/>
        <w:bidi w:val="0"/>
        <w:adjustRightInd/>
        <w:spacing w:line="560" w:lineRule="exact"/>
        <w:ind w:firstLine="560" w:firstLineChars="200"/>
        <w:textAlignment w:val="auto"/>
        <w:rPr>
          <w:rFonts w:hint="eastAsia" w:ascii="仿宋_GB2312" w:hAnsi="Times New Roman" w:eastAsia="仿宋_GB2312" w:cs="Times New Roman"/>
          <w:color w:val="auto"/>
          <w:sz w:val="28"/>
          <w:highlight w:val="none"/>
          <w:lang w:val="en-US" w:eastAsia="zh-CN"/>
        </w:rPr>
      </w:pPr>
      <w:r>
        <w:rPr>
          <w:rFonts w:hint="eastAsia" w:ascii="仿宋_GB2312" w:hAnsi="Times New Roman" w:eastAsia="仿宋_GB2312" w:cs="Times New Roman"/>
          <w:color w:val="auto"/>
          <w:sz w:val="28"/>
          <w:highlight w:val="none"/>
          <w:lang w:val="en-US" w:eastAsia="zh-CN"/>
        </w:rPr>
        <w:t>5</w:t>
      </w:r>
      <w:r>
        <w:rPr>
          <w:rFonts w:hint="eastAsia" w:ascii="仿宋_GB2312" w:hAnsi="Times New Roman" w:eastAsia="仿宋_GB2312" w:cs="Times New Roman"/>
          <w:color w:val="auto"/>
          <w:sz w:val="28"/>
          <w:highlight w:val="none"/>
        </w:rPr>
        <w:t>.估价对象：</w:t>
      </w:r>
      <w:r>
        <w:rPr>
          <w:rFonts w:hint="eastAsia" w:ascii="仿宋_GB2312" w:hAnsi="Times New Roman" w:eastAsia="仿宋_GB2312" w:cs="Times New Roman"/>
          <w:color w:val="auto"/>
          <w:sz w:val="28"/>
          <w:highlight w:val="none"/>
          <w:lang w:val="en-US" w:eastAsia="zh-CN"/>
        </w:rPr>
        <w:t>城投·金澜湾11套多层住宅，总建筑面积1924.22平方米</w:t>
      </w:r>
      <w:r>
        <w:rPr>
          <w:rFonts w:hint="eastAsia" w:ascii="仿宋_GB2312" w:hAnsi="Times New Roman" w:eastAsia="仿宋_GB2312" w:cs="Times New Roman"/>
          <w:color w:val="auto"/>
          <w:sz w:val="28"/>
          <w:highlight w:val="none"/>
          <w:lang w:eastAsia="zh-CN"/>
        </w:rPr>
        <w:t>，</w:t>
      </w:r>
      <w:r>
        <w:rPr>
          <w:rFonts w:hint="eastAsia" w:ascii="仿宋_GB2312" w:hAnsi="Times New Roman" w:eastAsia="仿宋_GB2312" w:cs="Times New Roman"/>
          <w:color w:val="auto"/>
          <w:sz w:val="28"/>
          <w:highlight w:val="none"/>
          <w:lang w:val="en-US" w:eastAsia="zh-CN"/>
        </w:rPr>
        <w:t>具体资产评估明细如下：</w:t>
      </w:r>
    </w:p>
    <w:p w14:paraId="7EC40A88">
      <w:pPr>
        <w:keepNext w:val="0"/>
        <w:keepLines w:val="0"/>
        <w:pageBreakBefore w:val="0"/>
        <w:widowControl w:val="0"/>
        <w:kinsoku/>
        <w:wordWrap/>
        <w:overflowPunct/>
        <w:topLinePunct w:val="0"/>
        <w:autoSpaceDE/>
        <w:bidi w:val="0"/>
        <w:adjustRightInd/>
        <w:spacing w:line="560" w:lineRule="exact"/>
        <w:ind w:left="1959" w:leftChars="266" w:right="50" w:rightChars="24" w:hanging="1400" w:hangingChars="500"/>
        <w:textAlignment w:val="auto"/>
        <w:rPr>
          <w:rFonts w:hint="eastAsia" w:ascii="仿宋_GB2312" w:eastAsia="仿宋_GB2312"/>
          <w:color w:val="auto"/>
          <w:sz w:val="28"/>
          <w:highlight w:val="none"/>
          <w:u w:val="none"/>
          <w:lang w:val="en-US" w:eastAsia="zh-CN"/>
        </w:rPr>
      </w:pPr>
      <w:r>
        <w:rPr>
          <w:rFonts w:hint="eastAsia" w:ascii="仿宋_GB2312" w:eastAsia="仿宋_GB2312"/>
          <w:color w:val="auto"/>
          <w:sz w:val="28"/>
          <w:highlight w:val="none"/>
          <w:u w:val="none"/>
          <w:lang w:val="en-US" w:eastAsia="zh-CN"/>
        </w:rPr>
        <w:drawing>
          <wp:anchor distT="0" distB="0" distL="114300" distR="114300" simplePos="0" relativeHeight="251659264" behindDoc="1" locked="0" layoutInCell="1" allowOverlap="1">
            <wp:simplePos x="0" y="0"/>
            <wp:positionH relativeFrom="column">
              <wp:posOffset>246380</wp:posOffset>
            </wp:positionH>
            <wp:positionV relativeFrom="paragraph">
              <wp:posOffset>88265</wp:posOffset>
            </wp:positionV>
            <wp:extent cx="5260340" cy="2700020"/>
            <wp:effectExtent l="0" t="0" r="16510" b="5080"/>
            <wp:wrapNone/>
            <wp:docPr id="2" name="图片 2" descr="1749719392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49719392356"/>
                    <pic:cNvPicPr>
                      <a:picLocks noChangeAspect="1"/>
                    </pic:cNvPicPr>
                  </pic:nvPicPr>
                  <pic:blipFill>
                    <a:blip r:embed="rId6"/>
                    <a:stretch>
                      <a:fillRect/>
                    </a:stretch>
                  </pic:blipFill>
                  <pic:spPr>
                    <a:xfrm>
                      <a:off x="0" y="0"/>
                      <a:ext cx="5260340" cy="2700020"/>
                    </a:xfrm>
                    <a:prstGeom prst="rect">
                      <a:avLst/>
                    </a:prstGeom>
                    <a:noFill/>
                    <a:ln>
                      <a:noFill/>
                    </a:ln>
                  </pic:spPr>
                </pic:pic>
              </a:graphicData>
            </a:graphic>
          </wp:anchor>
        </w:drawing>
      </w:r>
    </w:p>
    <w:p w14:paraId="012AD0F5">
      <w:pPr>
        <w:keepNext w:val="0"/>
        <w:keepLines w:val="0"/>
        <w:pageBreakBefore w:val="0"/>
        <w:widowControl w:val="0"/>
        <w:kinsoku/>
        <w:wordWrap/>
        <w:overflowPunct/>
        <w:topLinePunct w:val="0"/>
        <w:autoSpaceDE/>
        <w:bidi w:val="0"/>
        <w:adjustRightInd/>
        <w:spacing w:line="560" w:lineRule="exact"/>
        <w:ind w:left="1959" w:leftChars="266" w:right="50" w:rightChars="24" w:hanging="1400" w:hangingChars="500"/>
        <w:textAlignment w:val="auto"/>
        <w:rPr>
          <w:rFonts w:hint="default" w:ascii="仿宋_GB2312" w:eastAsia="仿宋_GB2312"/>
          <w:color w:val="auto"/>
          <w:sz w:val="28"/>
          <w:highlight w:val="none"/>
          <w:u w:val="none"/>
          <w:lang w:val="en-US" w:eastAsia="zh-CN"/>
        </w:rPr>
      </w:pPr>
    </w:p>
    <w:p w14:paraId="7B20535E">
      <w:pPr>
        <w:keepNext w:val="0"/>
        <w:keepLines w:val="0"/>
        <w:pageBreakBefore w:val="0"/>
        <w:widowControl w:val="0"/>
        <w:kinsoku/>
        <w:wordWrap/>
        <w:overflowPunct/>
        <w:topLinePunct w:val="0"/>
        <w:autoSpaceDE/>
        <w:bidi w:val="0"/>
        <w:adjustRightInd/>
        <w:spacing w:line="560" w:lineRule="exact"/>
        <w:ind w:right="50" w:rightChars="24" w:firstLine="562" w:firstLineChars="200"/>
        <w:textAlignment w:val="auto"/>
        <w:rPr>
          <w:rFonts w:hint="eastAsia" w:ascii="仿宋_GB2312" w:eastAsia="仿宋_GB2312"/>
          <w:b/>
          <w:color w:val="auto"/>
          <w:sz w:val="28"/>
          <w:highlight w:val="none"/>
        </w:rPr>
      </w:pPr>
    </w:p>
    <w:p w14:paraId="7FA7CB50">
      <w:pPr>
        <w:keepNext w:val="0"/>
        <w:keepLines w:val="0"/>
        <w:pageBreakBefore w:val="0"/>
        <w:widowControl w:val="0"/>
        <w:kinsoku/>
        <w:wordWrap/>
        <w:overflowPunct/>
        <w:topLinePunct w:val="0"/>
        <w:autoSpaceDE/>
        <w:bidi w:val="0"/>
        <w:adjustRightInd/>
        <w:spacing w:line="560" w:lineRule="exact"/>
        <w:ind w:right="50" w:rightChars="24" w:firstLine="562" w:firstLineChars="200"/>
        <w:textAlignment w:val="auto"/>
        <w:rPr>
          <w:rFonts w:hint="eastAsia" w:ascii="仿宋_GB2312" w:eastAsia="仿宋_GB2312"/>
          <w:b/>
          <w:color w:val="auto"/>
          <w:sz w:val="28"/>
          <w:highlight w:val="none"/>
        </w:rPr>
      </w:pPr>
    </w:p>
    <w:p w14:paraId="13CCAAA6">
      <w:pPr>
        <w:keepNext w:val="0"/>
        <w:keepLines w:val="0"/>
        <w:pageBreakBefore w:val="0"/>
        <w:widowControl w:val="0"/>
        <w:kinsoku/>
        <w:wordWrap/>
        <w:overflowPunct/>
        <w:topLinePunct w:val="0"/>
        <w:autoSpaceDE/>
        <w:bidi w:val="0"/>
        <w:adjustRightInd/>
        <w:spacing w:line="560" w:lineRule="exact"/>
        <w:ind w:right="50" w:rightChars="24" w:firstLine="562" w:firstLineChars="200"/>
        <w:textAlignment w:val="auto"/>
        <w:rPr>
          <w:rFonts w:hint="eastAsia" w:ascii="仿宋_GB2312" w:eastAsia="仿宋_GB2312"/>
          <w:b/>
          <w:color w:val="auto"/>
          <w:sz w:val="28"/>
          <w:highlight w:val="none"/>
        </w:rPr>
      </w:pPr>
    </w:p>
    <w:p w14:paraId="40BE191D">
      <w:pPr>
        <w:keepNext w:val="0"/>
        <w:keepLines w:val="0"/>
        <w:pageBreakBefore w:val="0"/>
        <w:widowControl w:val="0"/>
        <w:kinsoku/>
        <w:wordWrap/>
        <w:overflowPunct/>
        <w:topLinePunct w:val="0"/>
        <w:autoSpaceDE/>
        <w:bidi w:val="0"/>
        <w:adjustRightInd/>
        <w:spacing w:line="560" w:lineRule="exact"/>
        <w:ind w:right="50" w:rightChars="24" w:firstLine="562" w:firstLineChars="200"/>
        <w:textAlignment w:val="auto"/>
        <w:rPr>
          <w:rFonts w:hint="eastAsia" w:ascii="仿宋_GB2312" w:eastAsia="仿宋_GB2312"/>
          <w:b/>
          <w:color w:val="auto"/>
          <w:sz w:val="28"/>
          <w:highlight w:val="none"/>
        </w:rPr>
      </w:pPr>
    </w:p>
    <w:p w14:paraId="41D39A1B">
      <w:pPr>
        <w:keepNext w:val="0"/>
        <w:keepLines w:val="0"/>
        <w:pageBreakBefore w:val="0"/>
        <w:widowControl w:val="0"/>
        <w:kinsoku/>
        <w:wordWrap/>
        <w:overflowPunct/>
        <w:topLinePunct w:val="0"/>
        <w:autoSpaceDE/>
        <w:bidi w:val="0"/>
        <w:adjustRightInd/>
        <w:spacing w:line="560" w:lineRule="exact"/>
        <w:ind w:right="50" w:rightChars="24" w:firstLine="562" w:firstLineChars="200"/>
        <w:textAlignment w:val="auto"/>
        <w:rPr>
          <w:rFonts w:hint="eastAsia" w:ascii="仿宋_GB2312" w:eastAsia="仿宋_GB2312"/>
          <w:b/>
          <w:color w:val="auto"/>
          <w:sz w:val="28"/>
          <w:highlight w:val="none"/>
        </w:rPr>
      </w:pPr>
    </w:p>
    <w:p w14:paraId="60CB6494">
      <w:pPr>
        <w:keepNext w:val="0"/>
        <w:keepLines w:val="0"/>
        <w:pageBreakBefore w:val="0"/>
        <w:widowControl w:val="0"/>
        <w:kinsoku/>
        <w:wordWrap/>
        <w:overflowPunct/>
        <w:topLinePunct w:val="0"/>
        <w:autoSpaceDE/>
        <w:bidi w:val="0"/>
        <w:adjustRightInd/>
        <w:snapToGrid/>
        <w:spacing w:line="560" w:lineRule="exact"/>
        <w:ind w:right="50" w:rightChars="24" w:firstLine="562" w:firstLineChars="200"/>
        <w:textAlignment w:val="auto"/>
        <w:rPr>
          <w:rFonts w:hint="eastAsia" w:ascii="仿宋_GB2312" w:eastAsia="仿宋_GB2312"/>
          <w:b/>
          <w:color w:val="auto"/>
          <w:sz w:val="28"/>
          <w:highlight w:val="none"/>
        </w:rPr>
      </w:pPr>
      <w:r>
        <w:rPr>
          <w:rFonts w:hint="eastAsia" w:ascii="仿宋_GB2312" w:eastAsia="仿宋_GB2312"/>
          <w:b/>
          <w:color w:val="auto"/>
          <w:sz w:val="28"/>
          <w:highlight w:val="none"/>
        </w:rPr>
        <w:t>二、甲方</w:t>
      </w:r>
      <w:r>
        <w:rPr>
          <w:rFonts w:hint="eastAsia" w:ascii="仿宋_GB2312" w:eastAsia="仿宋_GB2312"/>
          <w:b/>
          <w:color w:val="auto"/>
          <w:sz w:val="28"/>
          <w:highlight w:val="none"/>
          <w:lang w:val="en-US" w:eastAsia="zh-CN"/>
        </w:rPr>
        <w:t>的权力与</w:t>
      </w:r>
      <w:r>
        <w:rPr>
          <w:rFonts w:hint="eastAsia" w:ascii="仿宋_GB2312" w:eastAsia="仿宋_GB2312"/>
          <w:b/>
          <w:color w:val="auto"/>
          <w:sz w:val="28"/>
          <w:highlight w:val="none"/>
        </w:rPr>
        <w:t>义务</w:t>
      </w:r>
    </w:p>
    <w:p w14:paraId="43C00C14">
      <w:pPr>
        <w:keepNext w:val="0"/>
        <w:keepLines w:val="0"/>
        <w:pageBreakBefore w:val="0"/>
        <w:widowControl w:val="0"/>
        <w:kinsoku/>
        <w:wordWrap/>
        <w:overflowPunct/>
        <w:topLinePunct w:val="0"/>
        <w:autoSpaceDE/>
        <w:bidi w:val="0"/>
        <w:adjustRightInd/>
        <w:snapToGrid/>
        <w:spacing w:line="560" w:lineRule="exact"/>
        <w:ind w:firstLine="560" w:firstLineChars="200"/>
        <w:textAlignment w:val="auto"/>
        <w:rPr>
          <w:rFonts w:hint="eastAsia" w:ascii="仿宋_GB2312" w:eastAsia="仿宋_GB2312"/>
          <w:color w:val="auto"/>
          <w:sz w:val="28"/>
          <w:highlight w:val="none"/>
          <w:u w:val="single"/>
          <w:lang w:eastAsia="zh-CN"/>
        </w:rPr>
      </w:pPr>
      <w:r>
        <w:rPr>
          <w:rFonts w:hint="eastAsia" w:ascii="仿宋_GB2312" w:eastAsia="仿宋_GB2312"/>
          <w:color w:val="auto"/>
          <w:sz w:val="28"/>
          <w:highlight w:val="none"/>
        </w:rPr>
        <w:t>1.甲方提</w:t>
      </w:r>
      <w:r>
        <w:rPr>
          <w:rFonts w:hint="eastAsia" w:ascii="仿宋_GB2312" w:eastAsia="仿宋_GB2312"/>
          <w:color w:val="auto"/>
          <w:sz w:val="28"/>
          <w:highlight w:val="none"/>
          <w:lang w:val="en-US" w:eastAsia="zh-CN"/>
        </w:rPr>
        <w:t>供房地产权属证明、图纸、使用状况等</w:t>
      </w:r>
      <w:r>
        <w:rPr>
          <w:rFonts w:hint="eastAsia" w:ascii="仿宋_GB2312" w:eastAsia="仿宋_GB2312"/>
          <w:color w:val="auto"/>
          <w:sz w:val="28"/>
          <w:highlight w:val="none"/>
        </w:rPr>
        <w:t>真实性资料</w:t>
      </w:r>
      <w:r>
        <w:rPr>
          <w:rFonts w:hint="eastAsia" w:ascii="仿宋_GB2312" w:eastAsia="仿宋_GB2312"/>
          <w:color w:val="auto"/>
          <w:sz w:val="28"/>
          <w:highlight w:val="none"/>
          <w:lang w:eastAsia="zh-CN"/>
        </w:rPr>
        <w:t>；</w:t>
      </w:r>
    </w:p>
    <w:p w14:paraId="41040751">
      <w:pPr>
        <w:keepNext w:val="0"/>
        <w:keepLines w:val="0"/>
        <w:pageBreakBefore w:val="0"/>
        <w:widowControl w:val="0"/>
        <w:kinsoku/>
        <w:wordWrap/>
        <w:overflowPunct/>
        <w:topLinePunct w:val="0"/>
        <w:autoSpaceDE/>
        <w:bidi w:val="0"/>
        <w:adjustRightInd/>
        <w:snapToGrid/>
        <w:spacing w:line="560" w:lineRule="exact"/>
        <w:ind w:right="50" w:rightChars="24" w:firstLine="560" w:firstLineChars="200"/>
        <w:textAlignment w:val="auto"/>
        <w:rPr>
          <w:rFonts w:hint="eastAsia" w:ascii="仿宋_GB2312" w:eastAsia="仿宋_GB2312"/>
          <w:color w:val="auto"/>
          <w:sz w:val="28"/>
          <w:highlight w:val="none"/>
          <w:lang w:eastAsia="zh-CN"/>
        </w:rPr>
      </w:pPr>
      <w:r>
        <w:rPr>
          <w:rFonts w:hint="eastAsia" w:ascii="仿宋_GB2312" w:eastAsia="仿宋_GB2312"/>
          <w:color w:val="auto"/>
          <w:sz w:val="28"/>
          <w:highlight w:val="none"/>
        </w:rPr>
        <w:t>2.甲方有义务</w:t>
      </w:r>
      <w:r>
        <w:rPr>
          <w:rFonts w:hint="eastAsia" w:ascii="仿宋_GB2312" w:eastAsia="仿宋_GB2312"/>
          <w:color w:val="auto"/>
          <w:sz w:val="28"/>
          <w:highlight w:val="none"/>
          <w:lang w:val="en-US" w:eastAsia="zh-CN"/>
        </w:rPr>
        <w:t>为</w:t>
      </w:r>
      <w:r>
        <w:rPr>
          <w:rFonts w:hint="eastAsia" w:ascii="仿宋_GB2312" w:eastAsia="仿宋_GB2312"/>
          <w:color w:val="auto"/>
          <w:sz w:val="28"/>
          <w:highlight w:val="none"/>
        </w:rPr>
        <w:t>乙方人员进行现场勘察，提供</w:t>
      </w:r>
      <w:r>
        <w:rPr>
          <w:rFonts w:hint="eastAsia" w:ascii="仿宋_GB2312" w:eastAsia="仿宋_GB2312"/>
          <w:color w:val="auto"/>
          <w:sz w:val="28"/>
          <w:highlight w:val="none"/>
          <w:lang w:val="en-US" w:eastAsia="zh-CN"/>
        </w:rPr>
        <w:t>必要协助</w:t>
      </w:r>
      <w:r>
        <w:rPr>
          <w:rFonts w:hint="eastAsia" w:ascii="仿宋_GB2312" w:eastAsia="仿宋_GB2312"/>
          <w:color w:val="auto"/>
          <w:sz w:val="28"/>
          <w:highlight w:val="none"/>
          <w:lang w:eastAsia="zh-CN"/>
        </w:rPr>
        <w:t>；</w:t>
      </w:r>
    </w:p>
    <w:p w14:paraId="3F3C58DF">
      <w:pPr>
        <w:keepNext w:val="0"/>
        <w:keepLines w:val="0"/>
        <w:pageBreakBefore w:val="0"/>
        <w:widowControl w:val="0"/>
        <w:kinsoku/>
        <w:wordWrap/>
        <w:overflowPunct/>
        <w:topLinePunct w:val="0"/>
        <w:autoSpaceDE/>
        <w:bidi w:val="0"/>
        <w:adjustRightInd/>
        <w:snapToGrid/>
        <w:spacing w:line="560" w:lineRule="exact"/>
        <w:ind w:right="50" w:rightChars="24" w:firstLine="560" w:firstLineChars="200"/>
        <w:textAlignment w:val="auto"/>
        <w:rPr>
          <w:rFonts w:hint="eastAsia" w:ascii="仿宋_GB2312" w:eastAsia="仿宋_GB2312"/>
          <w:color w:val="auto"/>
          <w:sz w:val="28"/>
          <w:highlight w:val="none"/>
          <w:lang w:eastAsia="zh-CN"/>
        </w:rPr>
      </w:pPr>
      <w:r>
        <w:rPr>
          <w:rFonts w:hint="eastAsia" w:ascii="仿宋_GB2312" w:eastAsia="仿宋_GB2312"/>
          <w:color w:val="auto"/>
          <w:sz w:val="28"/>
          <w:highlight w:val="none"/>
        </w:rPr>
        <w:t>3.甲方应当按照合同约定向乙方支付评估服务费</w:t>
      </w:r>
      <w:r>
        <w:rPr>
          <w:rFonts w:hint="eastAsia" w:ascii="仿宋_GB2312" w:eastAsia="仿宋_GB2312"/>
          <w:color w:val="auto"/>
          <w:sz w:val="28"/>
          <w:highlight w:val="none"/>
          <w:lang w:eastAsia="zh-CN"/>
        </w:rPr>
        <w:t>；</w:t>
      </w:r>
    </w:p>
    <w:p w14:paraId="65D047E8">
      <w:pPr>
        <w:keepNext w:val="0"/>
        <w:keepLines w:val="0"/>
        <w:pageBreakBefore w:val="0"/>
        <w:widowControl w:val="0"/>
        <w:kinsoku/>
        <w:wordWrap/>
        <w:overflowPunct/>
        <w:topLinePunct w:val="0"/>
        <w:autoSpaceDE/>
        <w:bidi w:val="0"/>
        <w:adjustRightInd/>
        <w:snapToGrid/>
        <w:spacing w:line="560" w:lineRule="exact"/>
        <w:ind w:right="50" w:rightChars="24" w:firstLine="560" w:firstLineChars="200"/>
        <w:textAlignment w:val="auto"/>
        <w:rPr>
          <w:rFonts w:hint="eastAsia" w:ascii="仿宋_GB2312" w:eastAsia="仿宋_GB2312"/>
          <w:color w:val="auto"/>
          <w:sz w:val="28"/>
          <w:highlight w:val="none"/>
        </w:rPr>
      </w:pPr>
      <w:r>
        <w:rPr>
          <w:rFonts w:hint="eastAsia" w:ascii="仿宋_GB2312" w:eastAsia="仿宋_GB2312"/>
          <w:color w:val="auto"/>
          <w:sz w:val="28"/>
          <w:highlight w:val="none"/>
        </w:rPr>
        <w:t>4.甲方对所提供的材料的真实性负责。</w:t>
      </w:r>
    </w:p>
    <w:p w14:paraId="7EC3B269">
      <w:pPr>
        <w:keepNext w:val="0"/>
        <w:keepLines w:val="0"/>
        <w:pageBreakBefore w:val="0"/>
        <w:widowControl w:val="0"/>
        <w:kinsoku/>
        <w:wordWrap/>
        <w:overflowPunct/>
        <w:topLinePunct w:val="0"/>
        <w:autoSpaceDE/>
        <w:bidi w:val="0"/>
        <w:adjustRightInd/>
        <w:snapToGrid/>
        <w:spacing w:line="560" w:lineRule="exact"/>
        <w:ind w:right="50" w:rightChars="24" w:firstLine="562" w:firstLineChars="200"/>
        <w:textAlignment w:val="auto"/>
        <w:rPr>
          <w:rFonts w:hint="eastAsia" w:ascii="仿宋_GB2312" w:eastAsia="仿宋_GB2312"/>
          <w:b/>
          <w:color w:val="auto"/>
          <w:sz w:val="28"/>
          <w:highlight w:val="none"/>
        </w:rPr>
      </w:pPr>
      <w:r>
        <w:rPr>
          <w:rFonts w:hint="eastAsia" w:ascii="仿宋_GB2312" w:eastAsia="仿宋_GB2312"/>
          <w:b/>
          <w:color w:val="auto"/>
          <w:sz w:val="28"/>
          <w:highlight w:val="none"/>
        </w:rPr>
        <w:t>三、乙方</w:t>
      </w:r>
      <w:r>
        <w:rPr>
          <w:rFonts w:hint="eastAsia" w:ascii="仿宋_GB2312" w:eastAsia="仿宋_GB2312"/>
          <w:b/>
          <w:color w:val="auto"/>
          <w:sz w:val="28"/>
          <w:highlight w:val="none"/>
          <w:lang w:val="en-US" w:eastAsia="zh-CN"/>
        </w:rPr>
        <w:t>的权力与</w:t>
      </w:r>
      <w:r>
        <w:rPr>
          <w:rFonts w:hint="eastAsia" w:ascii="仿宋_GB2312" w:eastAsia="仿宋_GB2312"/>
          <w:b/>
          <w:color w:val="auto"/>
          <w:sz w:val="28"/>
          <w:highlight w:val="none"/>
        </w:rPr>
        <w:t>义务</w:t>
      </w:r>
    </w:p>
    <w:p w14:paraId="7B358007">
      <w:pPr>
        <w:keepNext w:val="0"/>
        <w:keepLines w:val="0"/>
        <w:pageBreakBefore w:val="0"/>
        <w:widowControl w:val="0"/>
        <w:kinsoku/>
        <w:wordWrap/>
        <w:overflowPunct/>
        <w:topLinePunct w:val="0"/>
        <w:autoSpaceDE/>
        <w:bidi w:val="0"/>
        <w:adjustRightInd/>
        <w:snapToGrid/>
        <w:spacing w:line="560" w:lineRule="exact"/>
        <w:ind w:right="50" w:rightChars="24" w:firstLine="560" w:firstLineChars="200"/>
        <w:textAlignment w:val="auto"/>
        <w:rPr>
          <w:rFonts w:hint="eastAsia" w:ascii="仿宋_GB2312" w:eastAsia="仿宋_GB2312"/>
          <w:color w:val="auto"/>
          <w:sz w:val="28"/>
          <w:highlight w:val="none"/>
        </w:rPr>
      </w:pPr>
      <w:r>
        <w:rPr>
          <w:rFonts w:hint="eastAsia" w:ascii="仿宋_GB2312" w:eastAsia="仿宋_GB2312"/>
          <w:color w:val="auto"/>
          <w:sz w:val="28"/>
          <w:highlight w:val="none"/>
        </w:rPr>
        <w:t>1.合同签订后，乙方应</w:t>
      </w:r>
      <w:r>
        <w:rPr>
          <w:rFonts w:hint="eastAsia" w:ascii="仿宋_GB2312" w:eastAsia="仿宋_GB2312"/>
          <w:color w:val="auto"/>
          <w:sz w:val="28"/>
          <w:highlight w:val="none"/>
          <w:lang w:val="en-US" w:eastAsia="zh-CN"/>
        </w:rPr>
        <w:t>当依照</w:t>
      </w:r>
      <w:r>
        <w:rPr>
          <w:rFonts w:hint="eastAsia" w:ascii="仿宋_GB2312" w:eastAsia="仿宋_GB2312"/>
          <w:color w:val="auto"/>
          <w:sz w:val="28"/>
          <w:highlight w:val="none"/>
        </w:rPr>
        <w:t>客观、公正、独立</w:t>
      </w:r>
      <w:r>
        <w:rPr>
          <w:rFonts w:hint="eastAsia" w:ascii="仿宋_GB2312" w:eastAsia="仿宋_GB2312"/>
          <w:color w:val="auto"/>
          <w:sz w:val="28"/>
          <w:highlight w:val="none"/>
          <w:lang w:val="en-US" w:eastAsia="zh-CN"/>
        </w:rPr>
        <w:t>的原则进行评估，遵守《房地产估价规范》及相关法律、法规，</w:t>
      </w:r>
      <w:r>
        <w:rPr>
          <w:rFonts w:hint="eastAsia" w:ascii="仿宋_GB2312" w:eastAsia="仿宋_GB2312"/>
          <w:color w:val="auto"/>
          <w:sz w:val="28"/>
          <w:highlight w:val="none"/>
        </w:rPr>
        <w:t>对估价对象</w:t>
      </w:r>
      <w:r>
        <w:rPr>
          <w:rFonts w:hint="eastAsia" w:ascii="仿宋_GB2312" w:eastAsia="仿宋_GB2312"/>
          <w:color w:val="auto"/>
          <w:sz w:val="28"/>
          <w:highlight w:val="none"/>
          <w:lang w:val="en-US" w:eastAsia="zh-CN"/>
        </w:rPr>
        <w:t>在评估时点和本合同规定的评估目价值进行分析和估算并出具评估报告。</w:t>
      </w:r>
    </w:p>
    <w:p w14:paraId="32111F8A">
      <w:pPr>
        <w:keepNext w:val="0"/>
        <w:keepLines w:val="0"/>
        <w:pageBreakBefore w:val="0"/>
        <w:widowControl w:val="0"/>
        <w:kinsoku/>
        <w:wordWrap/>
        <w:overflowPunct/>
        <w:topLinePunct w:val="0"/>
        <w:autoSpaceDE/>
        <w:bidi w:val="0"/>
        <w:adjustRightInd/>
        <w:snapToGrid/>
        <w:spacing w:line="560" w:lineRule="exact"/>
        <w:ind w:right="50" w:rightChars="24" w:firstLine="560" w:firstLineChars="200"/>
        <w:textAlignment w:val="auto"/>
        <w:rPr>
          <w:rFonts w:hint="eastAsia" w:ascii="仿宋_GB2312" w:eastAsia="仿宋_GB2312"/>
          <w:color w:val="auto"/>
          <w:sz w:val="28"/>
          <w:highlight w:val="none"/>
        </w:rPr>
      </w:pPr>
      <w:r>
        <w:rPr>
          <w:rFonts w:hint="eastAsia" w:ascii="仿宋_GB2312" w:eastAsia="仿宋_GB2312"/>
          <w:color w:val="auto"/>
          <w:sz w:val="28"/>
          <w:highlight w:val="none"/>
        </w:rPr>
        <w:t>2.乙方应于收到甲方</w:t>
      </w:r>
      <w:r>
        <w:rPr>
          <w:rFonts w:hint="eastAsia" w:ascii="仿宋_GB2312" w:eastAsia="仿宋_GB2312"/>
          <w:color w:val="auto"/>
          <w:sz w:val="28"/>
          <w:highlight w:val="none"/>
          <w:lang w:val="en-US" w:eastAsia="zh-CN"/>
        </w:rPr>
        <w:t>提供</w:t>
      </w:r>
      <w:r>
        <w:rPr>
          <w:rFonts w:hint="eastAsia" w:ascii="仿宋_GB2312" w:eastAsia="仿宋_GB2312"/>
          <w:color w:val="auto"/>
          <w:sz w:val="28"/>
          <w:highlight w:val="none"/>
        </w:rPr>
        <w:t>的全部估价基础资料之日起</w:t>
      </w:r>
      <w:r>
        <w:rPr>
          <w:rFonts w:hint="eastAsia" w:ascii="仿宋_GB2312" w:eastAsia="仿宋_GB2312"/>
          <w:b w:val="0"/>
          <w:bCs/>
          <w:color w:val="auto"/>
          <w:sz w:val="28"/>
          <w:highlight w:val="none"/>
          <w:u w:val="none"/>
          <w:lang w:val="en-US" w:eastAsia="zh-CN"/>
        </w:rPr>
        <w:t>15</w:t>
      </w:r>
      <w:r>
        <w:rPr>
          <w:rFonts w:hint="eastAsia" w:ascii="仿宋_GB2312" w:eastAsia="仿宋_GB2312"/>
          <w:color w:val="auto"/>
          <w:sz w:val="28"/>
          <w:highlight w:val="none"/>
        </w:rPr>
        <w:t>个工作日内</w:t>
      </w:r>
      <w:r>
        <w:rPr>
          <w:rFonts w:hint="eastAsia" w:ascii="仿宋_GB2312" w:eastAsia="仿宋_GB2312"/>
          <w:color w:val="auto"/>
          <w:sz w:val="28"/>
          <w:highlight w:val="none"/>
          <w:lang w:val="en-US" w:eastAsia="zh-CN"/>
        </w:rPr>
        <w:t>完成所有评估工作并</w:t>
      </w:r>
      <w:r>
        <w:rPr>
          <w:rFonts w:hint="eastAsia" w:ascii="仿宋_GB2312" w:eastAsia="仿宋_GB2312"/>
          <w:color w:val="auto"/>
          <w:sz w:val="28"/>
          <w:highlight w:val="none"/>
        </w:rPr>
        <w:t>提交正式估价报告书。</w:t>
      </w:r>
    </w:p>
    <w:p w14:paraId="54F57A48">
      <w:pPr>
        <w:keepNext w:val="0"/>
        <w:keepLines w:val="0"/>
        <w:pageBreakBefore w:val="0"/>
        <w:widowControl w:val="0"/>
        <w:kinsoku/>
        <w:wordWrap/>
        <w:overflowPunct/>
        <w:topLinePunct w:val="0"/>
        <w:autoSpaceDE/>
        <w:bidi w:val="0"/>
        <w:adjustRightInd/>
        <w:snapToGrid/>
        <w:spacing w:line="560" w:lineRule="exact"/>
        <w:ind w:right="50" w:rightChars="24" w:firstLine="560" w:firstLineChars="200"/>
        <w:textAlignment w:val="auto"/>
        <w:rPr>
          <w:rFonts w:hint="eastAsia" w:ascii="仿宋_GB2312" w:eastAsia="仿宋_GB2312"/>
          <w:color w:val="auto"/>
          <w:sz w:val="28"/>
          <w:highlight w:val="none"/>
        </w:rPr>
      </w:pPr>
      <w:r>
        <w:rPr>
          <w:rFonts w:hint="eastAsia" w:ascii="仿宋_GB2312" w:eastAsia="仿宋_GB2312"/>
          <w:color w:val="auto"/>
          <w:sz w:val="28"/>
          <w:highlight w:val="none"/>
        </w:rPr>
        <w:t>3.乙方</w:t>
      </w:r>
      <w:r>
        <w:rPr>
          <w:rFonts w:hint="eastAsia" w:ascii="仿宋_GB2312" w:eastAsia="仿宋_GB2312"/>
          <w:color w:val="auto"/>
          <w:sz w:val="28"/>
          <w:highlight w:val="none"/>
          <w:lang w:val="en-US" w:eastAsia="zh-CN"/>
        </w:rPr>
        <w:t>对出具评估报告的完整性、真实性、合法性负责，并负相应的法律责任。</w:t>
      </w:r>
      <w:r>
        <w:rPr>
          <w:rFonts w:hint="eastAsia" w:ascii="仿宋_GB2312" w:eastAsia="仿宋_GB2312"/>
          <w:color w:val="auto"/>
          <w:sz w:val="28"/>
          <w:highlight w:val="none"/>
        </w:rPr>
        <w:t>甲方提供委估房地产的文件资料应妥善保管，</w:t>
      </w:r>
      <w:r>
        <w:rPr>
          <w:rFonts w:hint="eastAsia" w:ascii="仿宋_GB2312" w:eastAsia="仿宋_GB2312"/>
          <w:color w:val="auto"/>
          <w:sz w:val="28"/>
          <w:highlight w:val="none"/>
          <w:lang w:val="en-US" w:eastAsia="zh-CN"/>
        </w:rPr>
        <w:t>负有保密义务，</w:t>
      </w:r>
      <w:r>
        <w:rPr>
          <w:rFonts w:hint="eastAsia" w:ascii="仿宋_GB2312" w:eastAsia="仿宋_GB2312"/>
          <w:color w:val="auto"/>
          <w:sz w:val="28"/>
          <w:highlight w:val="none"/>
        </w:rPr>
        <w:t>未经</w:t>
      </w:r>
      <w:r>
        <w:rPr>
          <w:rFonts w:hint="eastAsia" w:ascii="仿宋_GB2312" w:eastAsia="仿宋_GB2312"/>
          <w:color w:val="auto"/>
          <w:sz w:val="28"/>
          <w:highlight w:val="none"/>
          <w:lang w:val="en-US" w:eastAsia="zh-CN"/>
        </w:rPr>
        <w:t>甲方</w:t>
      </w:r>
      <w:r>
        <w:rPr>
          <w:rFonts w:hint="eastAsia" w:ascii="仿宋_GB2312" w:eastAsia="仿宋_GB2312"/>
          <w:color w:val="auto"/>
          <w:sz w:val="28"/>
          <w:highlight w:val="none"/>
        </w:rPr>
        <w:t>同意不得</w:t>
      </w:r>
      <w:r>
        <w:rPr>
          <w:rFonts w:hint="eastAsia" w:ascii="仿宋_GB2312" w:eastAsia="仿宋_GB2312"/>
          <w:color w:val="auto"/>
          <w:sz w:val="28"/>
          <w:highlight w:val="none"/>
          <w:lang w:val="en-US" w:eastAsia="zh-CN"/>
        </w:rPr>
        <w:t>向第三方披露</w:t>
      </w:r>
      <w:r>
        <w:rPr>
          <w:rFonts w:hint="eastAsia" w:ascii="仿宋_GB2312" w:eastAsia="仿宋_GB2312"/>
          <w:color w:val="auto"/>
          <w:sz w:val="28"/>
          <w:highlight w:val="none"/>
        </w:rPr>
        <w:t>。</w:t>
      </w:r>
    </w:p>
    <w:p w14:paraId="046A056D">
      <w:pPr>
        <w:keepNext w:val="0"/>
        <w:keepLines w:val="0"/>
        <w:pageBreakBefore w:val="0"/>
        <w:widowControl w:val="0"/>
        <w:kinsoku/>
        <w:wordWrap/>
        <w:overflowPunct/>
        <w:topLinePunct w:val="0"/>
        <w:autoSpaceDE/>
        <w:bidi w:val="0"/>
        <w:adjustRightInd/>
        <w:snapToGrid/>
        <w:spacing w:line="560" w:lineRule="exact"/>
        <w:ind w:right="50" w:rightChars="24" w:firstLine="562" w:firstLineChars="200"/>
        <w:textAlignment w:val="auto"/>
        <w:rPr>
          <w:rFonts w:hint="default" w:ascii="仿宋_GB2312" w:eastAsia="仿宋_GB2312"/>
          <w:b/>
          <w:color w:val="auto"/>
          <w:sz w:val="28"/>
          <w:highlight w:val="none"/>
          <w:lang w:val="en-US" w:eastAsia="zh-CN"/>
        </w:rPr>
      </w:pPr>
      <w:r>
        <w:rPr>
          <w:rFonts w:hint="eastAsia" w:ascii="仿宋_GB2312" w:eastAsia="仿宋_GB2312"/>
          <w:b/>
          <w:color w:val="auto"/>
          <w:sz w:val="28"/>
          <w:highlight w:val="none"/>
        </w:rPr>
        <w:t>四、评估服务费</w:t>
      </w:r>
      <w:r>
        <w:rPr>
          <w:rFonts w:hint="eastAsia" w:ascii="仿宋_GB2312" w:eastAsia="仿宋_GB2312"/>
          <w:b/>
          <w:color w:val="auto"/>
          <w:sz w:val="28"/>
          <w:highlight w:val="none"/>
          <w:lang w:val="en-US" w:eastAsia="zh-CN"/>
        </w:rPr>
        <w:t>及付款方式</w:t>
      </w:r>
    </w:p>
    <w:p w14:paraId="574397E4">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560" w:firstLineChars="200"/>
        <w:textAlignment w:val="auto"/>
        <w:rPr>
          <w:rFonts w:hint="eastAsia" w:ascii="仿宋_GB2312" w:hAnsi="Times New Roman" w:eastAsia="仿宋_GB2312" w:cs="Times New Roman"/>
          <w:color w:val="auto"/>
          <w:sz w:val="28"/>
          <w:highlight w:val="none"/>
        </w:rPr>
      </w:pPr>
      <w:r>
        <w:rPr>
          <w:rFonts w:hint="eastAsia" w:ascii="仿宋_GB2312" w:eastAsia="仿宋_GB2312"/>
          <w:color w:val="auto"/>
          <w:sz w:val="28"/>
          <w:highlight w:val="none"/>
          <w:u w:val="none"/>
          <w:lang w:val="en-US" w:eastAsia="zh-CN"/>
        </w:rPr>
        <w:t>1.</w:t>
      </w:r>
      <w:r>
        <w:rPr>
          <w:rFonts w:hint="eastAsia" w:ascii="仿宋_GB2312" w:eastAsia="仿宋_GB2312"/>
          <w:color w:val="auto"/>
          <w:sz w:val="28"/>
          <w:highlight w:val="none"/>
          <w:u w:val="none"/>
        </w:rPr>
        <w:t>评估服务费</w:t>
      </w:r>
      <w:r>
        <w:rPr>
          <w:rFonts w:hint="eastAsia" w:ascii="仿宋_GB2312" w:hAnsi="Times New Roman" w:eastAsia="仿宋_GB2312" w:cs="Times New Roman"/>
          <w:color w:val="auto"/>
          <w:sz w:val="28"/>
          <w:highlight w:val="none"/>
        </w:rPr>
        <w:t>采取差额定率分档累进计</w:t>
      </w:r>
      <w:r>
        <w:rPr>
          <w:rFonts w:hint="eastAsia" w:ascii="仿宋_GB2312" w:hAnsi="Times New Roman" w:eastAsia="仿宋_GB2312" w:cs="Times New Roman"/>
          <w:color w:val="auto"/>
          <w:sz w:val="28"/>
          <w:highlight w:val="none"/>
          <w:lang w:val="en-US" w:eastAsia="zh-CN"/>
        </w:rPr>
        <w:t>算</w:t>
      </w:r>
      <w:r>
        <w:rPr>
          <w:rFonts w:hint="eastAsia" w:ascii="仿宋_GB2312" w:hAnsi="Times New Roman" w:eastAsia="仿宋_GB2312" w:cs="Times New Roman"/>
          <w:color w:val="auto"/>
          <w:sz w:val="28"/>
          <w:highlight w:val="none"/>
          <w:lang w:eastAsia="zh-CN"/>
        </w:rPr>
        <w:t>，</w:t>
      </w:r>
      <w:r>
        <w:rPr>
          <w:rFonts w:hint="eastAsia" w:ascii="仿宋_GB2312" w:hAnsi="Times New Roman" w:eastAsia="仿宋_GB2312" w:cs="Times New Roman"/>
          <w:color w:val="auto"/>
          <w:sz w:val="28"/>
          <w:highlight w:val="none"/>
          <w:lang w:val="en-US" w:eastAsia="zh-CN"/>
        </w:rPr>
        <w:t>费率</w:t>
      </w:r>
      <w:r>
        <w:rPr>
          <w:rFonts w:hint="eastAsia" w:ascii="仿宋_GB2312" w:hAnsi="Times New Roman" w:eastAsia="仿宋_GB2312" w:cs="Times New Roman"/>
          <w:color w:val="auto"/>
          <w:sz w:val="28"/>
          <w:highlight w:val="none"/>
        </w:rPr>
        <w:t>按下表执行：</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59"/>
        <w:gridCol w:w="4307"/>
        <w:gridCol w:w="2612"/>
      </w:tblGrid>
      <w:tr w14:paraId="26C7C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5" w:hRule="atLeast"/>
          <w:jc w:val="center"/>
        </w:trPr>
        <w:tc>
          <w:tcPr>
            <w:tcW w:w="859" w:type="dxa"/>
            <w:shd w:val="solid" w:color="FFFFFF" w:fill="auto"/>
            <w:noWrap w:val="0"/>
            <w:tcMar>
              <w:top w:w="0" w:type="dxa"/>
              <w:left w:w="108" w:type="dxa"/>
              <w:bottom w:w="0" w:type="dxa"/>
              <w:right w:w="108" w:type="dxa"/>
            </w:tcMar>
            <w:vAlign w:val="center"/>
          </w:tcPr>
          <w:p w14:paraId="68665F40">
            <w:pPr>
              <w:keepNext w:val="0"/>
              <w:keepLines w:val="0"/>
              <w:pageBreakBefore w:val="0"/>
              <w:widowControl w:val="0"/>
              <w:kinsoku/>
              <w:wordWrap/>
              <w:overflowPunct/>
              <w:topLinePunct w:val="0"/>
              <w:autoSpaceDE/>
              <w:bidi w:val="0"/>
              <w:adjustRightInd/>
              <w:spacing w:line="560" w:lineRule="exact"/>
              <w:ind w:right="50" w:rightChars="24"/>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档次</w:t>
            </w:r>
          </w:p>
        </w:tc>
        <w:tc>
          <w:tcPr>
            <w:tcW w:w="4307" w:type="dxa"/>
            <w:shd w:val="solid" w:color="FFFFFF" w:fill="auto"/>
            <w:noWrap w:val="0"/>
            <w:tcMar>
              <w:top w:w="0" w:type="dxa"/>
              <w:left w:w="108" w:type="dxa"/>
              <w:bottom w:w="0" w:type="dxa"/>
              <w:right w:w="108" w:type="dxa"/>
            </w:tcMar>
            <w:vAlign w:val="center"/>
          </w:tcPr>
          <w:p w14:paraId="0DF05C38">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房地产价格总额（万元）</w:t>
            </w:r>
          </w:p>
        </w:tc>
        <w:tc>
          <w:tcPr>
            <w:tcW w:w="2612" w:type="dxa"/>
            <w:shd w:val="solid" w:color="FFFFFF" w:fill="auto"/>
            <w:noWrap w:val="0"/>
            <w:tcMar>
              <w:top w:w="0" w:type="dxa"/>
              <w:left w:w="108" w:type="dxa"/>
              <w:bottom w:w="0" w:type="dxa"/>
              <w:right w:w="108" w:type="dxa"/>
            </w:tcMar>
            <w:vAlign w:val="center"/>
          </w:tcPr>
          <w:p w14:paraId="5250A040">
            <w:pPr>
              <w:keepNext w:val="0"/>
              <w:keepLines w:val="0"/>
              <w:pageBreakBefore w:val="0"/>
              <w:widowControl w:val="0"/>
              <w:kinsoku/>
              <w:wordWrap/>
              <w:overflowPunct/>
              <w:topLinePunct w:val="0"/>
              <w:autoSpaceDE/>
              <w:bidi w:val="0"/>
              <w:adjustRightInd/>
              <w:spacing w:line="560" w:lineRule="exact"/>
              <w:ind w:right="50" w:rightChars="24"/>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累进计费率（‰）</w:t>
            </w:r>
          </w:p>
        </w:tc>
      </w:tr>
      <w:tr w14:paraId="4C081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6" w:hRule="atLeast"/>
          <w:jc w:val="center"/>
        </w:trPr>
        <w:tc>
          <w:tcPr>
            <w:tcW w:w="859" w:type="dxa"/>
            <w:shd w:val="solid" w:color="FFFFFF" w:fill="auto"/>
            <w:noWrap w:val="0"/>
            <w:tcMar>
              <w:top w:w="0" w:type="dxa"/>
              <w:left w:w="108" w:type="dxa"/>
              <w:bottom w:w="0" w:type="dxa"/>
              <w:right w:w="108" w:type="dxa"/>
            </w:tcMar>
            <w:vAlign w:val="center"/>
          </w:tcPr>
          <w:p w14:paraId="660C94C0">
            <w:pPr>
              <w:keepNext w:val="0"/>
              <w:keepLines w:val="0"/>
              <w:pageBreakBefore w:val="0"/>
              <w:widowControl w:val="0"/>
              <w:kinsoku/>
              <w:wordWrap/>
              <w:overflowPunct/>
              <w:topLinePunct w:val="0"/>
              <w:autoSpaceDE/>
              <w:bidi w:val="0"/>
              <w:adjustRightInd/>
              <w:spacing w:line="560" w:lineRule="exact"/>
              <w:ind w:right="50" w:rightChars="24"/>
              <w:jc w:val="center"/>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１</w:t>
            </w:r>
          </w:p>
        </w:tc>
        <w:tc>
          <w:tcPr>
            <w:tcW w:w="4307" w:type="dxa"/>
            <w:shd w:val="solid" w:color="FFFFFF" w:fill="auto"/>
            <w:noWrap w:val="0"/>
            <w:tcMar>
              <w:top w:w="0" w:type="dxa"/>
              <w:left w:w="108" w:type="dxa"/>
              <w:bottom w:w="0" w:type="dxa"/>
              <w:right w:w="108" w:type="dxa"/>
            </w:tcMar>
            <w:vAlign w:val="center"/>
          </w:tcPr>
          <w:p w14:paraId="20E42A1B">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100以下（含100）</w:t>
            </w:r>
          </w:p>
        </w:tc>
        <w:tc>
          <w:tcPr>
            <w:tcW w:w="2612" w:type="dxa"/>
            <w:shd w:val="solid" w:color="FFFFFF" w:fill="auto"/>
            <w:noWrap w:val="0"/>
            <w:tcMar>
              <w:top w:w="0" w:type="dxa"/>
              <w:left w:w="108" w:type="dxa"/>
              <w:bottom w:w="0" w:type="dxa"/>
              <w:right w:w="108" w:type="dxa"/>
            </w:tcMar>
            <w:vAlign w:val="center"/>
          </w:tcPr>
          <w:p w14:paraId="57671EEA">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5</w:t>
            </w:r>
          </w:p>
        </w:tc>
      </w:tr>
      <w:tr w14:paraId="3B74F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6" w:hRule="atLeast"/>
          <w:jc w:val="center"/>
        </w:trPr>
        <w:tc>
          <w:tcPr>
            <w:tcW w:w="859" w:type="dxa"/>
            <w:shd w:val="solid" w:color="FFFFFF" w:fill="auto"/>
            <w:noWrap w:val="0"/>
            <w:tcMar>
              <w:top w:w="0" w:type="dxa"/>
              <w:left w:w="108" w:type="dxa"/>
              <w:bottom w:w="0" w:type="dxa"/>
              <w:right w:w="108" w:type="dxa"/>
            </w:tcMar>
            <w:vAlign w:val="center"/>
          </w:tcPr>
          <w:p w14:paraId="1172DBA8">
            <w:pPr>
              <w:keepNext w:val="0"/>
              <w:keepLines w:val="0"/>
              <w:pageBreakBefore w:val="0"/>
              <w:widowControl w:val="0"/>
              <w:kinsoku/>
              <w:wordWrap/>
              <w:overflowPunct/>
              <w:topLinePunct w:val="0"/>
              <w:autoSpaceDE/>
              <w:bidi w:val="0"/>
              <w:adjustRightInd/>
              <w:spacing w:line="560" w:lineRule="exact"/>
              <w:ind w:right="50" w:rightChars="24"/>
              <w:jc w:val="center"/>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２</w:t>
            </w:r>
          </w:p>
        </w:tc>
        <w:tc>
          <w:tcPr>
            <w:tcW w:w="4307" w:type="dxa"/>
            <w:shd w:val="solid" w:color="FFFFFF" w:fill="auto"/>
            <w:noWrap w:val="0"/>
            <w:tcMar>
              <w:top w:w="0" w:type="dxa"/>
              <w:left w:w="108" w:type="dxa"/>
              <w:bottom w:w="0" w:type="dxa"/>
              <w:right w:w="108" w:type="dxa"/>
            </w:tcMar>
            <w:vAlign w:val="center"/>
          </w:tcPr>
          <w:p w14:paraId="69350132">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101至1000</w:t>
            </w:r>
          </w:p>
        </w:tc>
        <w:tc>
          <w:tcPr>
            <w:tcW w:w="2612" w:type="dxa"/>
            <w:shd w:val="solid" w:color="FFFFFF" w:fill="auto"/>
            <w:noWrap w:val="0"/>
            <w:tcMar>
              <w:top w:w="0" w:type="dxa"/>
              <w:left w:w="108" w:type="dxa"/>
              <w:bottom w:w="0" w:type="dxa"/>
              <w:right w:w="108" w:type="dxa"/>
            </w:tcMar>
            <w:vAlign w:val="center"/>
          </w:tcPr>
          <w:p w14:paraId="0E0FB64E">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2.5</w:t>
            </w:r>
          </w:p>
        </w:tc>
      </w:tr>
      <w:tr w14:paraId="5B036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6" w:hRule="atLeast"/>
          <w:jc w:val="center"/>
        </w:trPr>
        <w:tc>
          <w:tcPr>
            <w:tcW w:w="859" w:type="dxa"/>
            <w:shd w:val="solid" w:color="FFFFFF" w:fill="auto"/>
            <w:noWrap w:val="0"/>
            <w:tcMar>
              <w:top w:w="0" w:type="dxa"/>
              <w:left w:w="108" w:type="dxa"/>
              <w:bottom w:w="0" w:type="dxa"/>
              <w:right w:w="108" w:type="dxa"/>
            </w:tcMar>
            <w:vAlign w:val="center"/>
          </w:tcPr>
          <w:p w14:paraId="31C8986D">
            <w:pPr>
              <w:keepNext w:val="0"/>
              <w:keepLines w:val="0"/>
              <w:pageBreakBefore w:val="0"/>
              <w:widowControl w:val="0"/>
              <w:kinsoku/>
              <w:wordWrap/>
              <w:overflowPunct/>
              <w:topLinePunct w:val="0"/>
              <w:autoSpaceDE/>
              <w:bidi w:val="0"/>
              <w:adjustRightInd/>
              <w:spacing w:line="560" w:lineRule="exact"/>
              <w:ind w:right="50" w:rightChars="24"/>
              <w:jc w:val="center"/>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３</w:t>
            </w:r>
          </w:p>
        </w:tc>
        <w:tc>
          <w:tcPr>
            <w:tcW w:w="4307" w:type="dxa"/>
            <w:shd w:val="solid" w:color="FFFFFF" w:fill="auto"/>
            <w:noWrap w:val="0"/>
            <w:tcMar>
              <w:top w:w="0" w:type="dxa"/>
              <w:left w:w="108" w:type="dxa"/>
              <w:bottom w:w="0" w:type="dxa"/>
              <w:right w:w="108" w:type="dxa"/>
            </w:tcMar>
            <w:vAlign w:val="center"/>
          </w:tcPr>
          <w:p w14:paraId="5A324AC9">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1001至2000</w:t>
            </w:r>
          </w:p>
        </w:tc>
        <w:tc>
          <w:tcPr>
            <w:tcW w:w="2612" w:type="dxa"/>
            <w:shd w:val="solid" w:color="FFFFFF" w:fill="auto"/>
            <w:noWrap w:val="0"/>
            <w:tcMar>
              <w:top w:w="0" w:type="dxa"/>
              <w:left w:w="108" w:type="dxa"/>
              <w:bottom w:w="0" w:type="dxa"/>
              <w:right w:w="108" w:type="dxa"/>
            </w:tcMar>
            <w:vAlign w:val="center"/>
          </w:tcPr>
          <w:p w14:paraId="26B38500">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1.5</w:t>
            </w:r>
          </w:p>
        </w:tc>
      </w:tr>
      <w:tr w14:paraId="54A6A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6" w:hRule="atLeast"/>
          <w:jc w:val="center"/>
        </w:trPr>
        <w:tc>
          <w:tcPr>
            <w:tcW w:w="859" w:type="dxa"/>
            <w:shd w:val="solid" w:color="FFFFFF" w:fill="auto"/>
            <w:noWrap w:val="0"/>
            <w:tcMar>
              <w:top w:w="0" w:type="dxa"/>
              <w:left w:w="108" w:type="dxa"/>
              <w:bottom w:w="0" w:type="dxa"/>
              <w:right w:w="108" w:type="dxa"/>
            </w:tcMar>
            <w:vAlign w:val="center"/>
          </w:tcPr>
          <w:p w14:paraId="50E45C57">
            <w:pPr>
              <w:keepNext w:val="0"/>
              <w:keepLines w:val="0"/>
              <w:pageBreakBefore w:val="0"/>
              <w:widowControl w:val="0"/>
              <w:kinsoku/>
              <w:wordWrap/>
              <w:overflowPunct/>
              <w:topLinePunct w:val="0"/>
              <w:autoSpaceDE/>
              <w:bidi w:val="0"/>
              <w:adjustRightInd/>
              <w:spacing w:line="560" w:lineRule="exact"/>
              <w:ind w:right="50" w:rightChars="24"/>
              <w:jc w:val="center"/>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４</w:t>
            </w:r>
          </w:p>
        </w:tc>
        <w:tc>
          <w:tcPr>
            <w:tcW w:w="4307" w:type="dxa"/>
            <w:shd w:val="solid" w:color="FFFFFF" w:fill="auto"/>
            <w:noWrap w:val="0"/>
            <w:tcMar>
              <w:top w:w="0" w:type="dxa"/>
              <w:left w:w="108" w:type="dxa"/>
              <w:bottom w:w="0" w:type="dxa"/>
              <w:right w:w="108" w:type="dxa"/>
            </w:tcMar>
            <w:vAlign w:val="center"/>
          </w:tcPr>
          <w:p w14:paraId="17A3F30B">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2001至5000</w:t>
            </w:r>
          </w:p>
        </w:tc>
        <w:tc>
          <w:tcPr>
            <w:tcW w:w="2612" w:type="dxa"/>
            <w:shd w:val="solid" w:color="FFFFFF" w:fill="auto"/>
            <w:noWrap w:val="0"/>
            <w:tcMar>
              <w:top w:w="0" w:type="dxa"/>
              <w:left w:w="108" w:type="dxa"/>
              <w:bottom w:w="0" w:type="dxa"/>
              <w:right w:w="108" w:type="dxa"/>
            </w:tcMar>
            <w:vAlign w:val="center"/>
          </w:tcPr>
          <w:p w14:paraId="31E6C28D">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0.8</w:t>
            </w:r>
          </w:p>
        </w:tc>
      </w:tr>
      <w:tr w14:paraId="3A802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6" w:hRule="atLeast"/>
          <w:jc w:val="center"/>
        </w:trPr>
        <w:tc>
          <w:tcPr>
            <w:tcW w:w="859" w:type="dxa"/>
            <w:shd w:val="solid" w:color="FFFFFF" w:fill="auto"/>
            <w:noWrap w:val="0"/>
            <w:tcMar>
              <w:top w:w="0" w:type="dxa"/>
              <w:left w:w="108" w:type="dxa"/>
              <w:bottom w:w="0" w:type="dxa"/>
              <w:right w:w="108" w:type="dxa"/>
            </w:tcMar>
            <w:vAlign w:val="center"/>
          </w:tcPr>
          <w:p w14:paraId="61B8D8ED">
            <w:pPr>
              <w:keepNext w:val="0"/>
              <w:keepLines w:val="0"/>
              <w:pageBreakBefore w:val="0"/>
              <w:widowControl w:val="0"/>
              <w:kinsoku/>
              <w:wordWrap/>
              <w:overflowPunct/>
              <w:topLinePunct w:val="0"/>
              <w:autoSpaceDE/>
              <w:bidi w:val="0"/>
              <w:adjustRightInd/>
              <w:spacing w:line="560" w:lineRule="exact"/>
              <w:ind w:right="50" w:rightChars="24"/>
              <w:jc w:val="center"/>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５</w:t>
            </w:r>
          </w:p>
        </w:tc>
        <w:tc>
          <w:tcPr>
            <w:tcW w:w="4307" w:type="dxa"/>
            <w:shd w:val="solid" w:color="FFFFFF" w:fill="auto"/>
            <w:noWrap w:val="0"/>
            <w:tcMar>
              <w:top w:w="0" w:type="dxa"/>
              <w:left w:w="108" w:type="dxa"/>
              <w:bottom w:w="0" w:type="dxa"/>
              <w:right w:w="108" w:type="dxa"/>
            </w:tcMar>
            <w:vAlign w:val="center"/>
          </w:tcPr>
          <w:p w14:paraId="40188A28">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5001至8000</w:t>
            </w:r>
          </w:p>
        </w:tc>
        <w:tc>
          <w:tcPr>
            <w:tcW w:w="2612" w:type="dxa"/>
            <w:shd w:val="solid" w:color="FFFFFF" w:fill="auto"/>
            <w:noWrap w:val="0"/>
            <w:tcMar>
              <w:top w:w="0" w:type="dxa"/>
              <w:left w:w="108" w:type="dxa"/>
              <w:bottom w:w="0" w:type="dxa"/>
              <w:right w:w="108" w:type="dxa"/>
            </w:tcMar>
            <w:vAlign w:val="center"/>
          </w:tcPr>
          <w:p w14:paraId="0DDBF016">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0.4</w:t>
            </w:r>
          </w:p>
        </w:tc>
      </w:tr>
      <w:tr w14:paraId="062F3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59" w:type="dxa"/>
            <w:shd w:val="solid" w:color="FFFFFF" w:fill="auto"/>
            <w:noWrap w:val="0"/>
            <w:tcMar>
              <w:top w:w="0" w:type="dxa"/>
              <w:left w:w="108" w:type="dxa"/>
              <w:bottom w:w="0" w:type="dxa"/>
              <w:right w:w="108" w:type="dxa"/>
            </w:tcMar>
            <w:vAlign w:val="center"/>
          </w:tcPr>
          <w:p w14:paraId="7986CDE9">
            <w:pPr>
              <w:keepNext w:val="0"/>
              <w:keepLines w:val="0"/>
              <w:pageBreakBefore w:val="0"/>
              <w:widowControl w:val="0"/>
              <w:kinsoku/>
              <w:wordWrap/>
              <w:overflowPunct/>
              <w:topLinePunct w:val="0"/>
              <w:autoSpaceDE/>
              <w:bidi w:val="0"/>
              <w:adjustRightInd/>
              <w:spacing w:line="560" w:lineRule="exact"/>
              <w:ind w:right="50" w:rightChars="24"/>
              <w:jc w:val="center"/>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６</w:t>
            </w:r>
          </w:p>
        </w:tc>
        <w:tc>
          <w:tcPr>
            <w:tcW w:w="4307" w:type="dxa"/>
            <w:shd w:val="solid" w:color="FFFFFF" w:fill="auto"/>
            <w:noWrap w:val="0"/>
            <w:tcMar>
              <w:top w:w="0" w:type="dxa"/>
              <w:left w:w="108" w:type="dxa"/>
              <w:bottom w:w="0" w:type="dxa"/>
              <w:right w:w="108" w:type="dxa"/>
            </w:tcMar>
            <w:vAlign w:val="center"/>
          </w:tcPr>
          <w:p w14:paraId="33DFC611">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8001至10000</w:t>
            </w:r>
          </w:p>
        </w:tc>
        <w:tc>
          <w:tcPr>
            <w:tcW w:w="2612" w:type="dxa"/>
            <w:shd w:val="solid" w:color="FFFFFF" w:fill="auto"/>
            <w:noWrap w:val="0"/>
            <w:tcMar>
              <w:top w:w="0" w:type="dxa"/>
              <w:left w:w="108" w:type="dxa"/>
              <w:bottom w:w="0" w:type="dxa"/>
              <w:right w:w="108" w:type="dxa"/>
            </w:tcMar>
            <w:vAlign w:val="center"/>
          </w:tcPr>
          <w:p w14:paraId="7F478F46">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0.2</w:t>
            </w:r>
          </w:p>
        </w:tc>
      </w:tr>
      <w:tr w14:paraId="75E57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0" w:hRule="atLeast"/>
          <w:jc w:val="center"/>
        </w:trPr>
        <w:tc>
          <w:tcPr>
            <w:tcW w:w="859" w:type="dxa"/>
            <w:shd w:val="solid" w:color="FFFFFF" w:fill="auto"/>
            <w:noWrap w:val="0"/>
            <w:tcMar>
              <w:top w:w="0" w:type="dxa"/>
              <w:left w:w="108" w:type="dxa"/>
              <w:bottom w:w="0" w:type="dxa"/>
              <w:right w:w="108" w:type="dxa"/>
            </w:tcMar>
            <w:vAlign w:val="center"/>
          </w:tcPr>
          <w:p w14:paraId="27114C8B">
            <w:pPr>
              <w:keepNext w:val="0"/>
              <w:keepLines w:val="0"/>
              <w:pageBreakBefore w:val="0"/>
              <w:widowControl w:val="0"/>
              <w:kinsoku/>
              <w:wordWrap/>
              <w:overflowPunct/>
              <w:topLinePunct w:val="0"/>
              <w:autoSpaceDE/>
              <w:bidi w:val="0"/>
              <w:adjustRightInd/>
              <w:spacing w:line="560" w:lineRule="exact"/>
              <w:ind w:right="50" w:rightChars="24"/>
              <w:jc w:val="center"/>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７</w:t>
            </w:r>
          </w:p>
        </w:tc>
        <w:tc>
          <w:tcPr>
            <w:tcW w:w="4307" w:type="dxa"/>
            <w:shd w:val="solid" w:color="FFFFFF" w:fill="auto"/>
            <w:noWrap w:val="0"/>
            <w:tcMar>
              <w:top w:w="0" w:type="dxa"/>
              <w:left w:w="108" w:type="dxa"/>
              <w:bottom w:w="0" w:type="dxa"/>
              <w:right w:w="108" w:type="dxa"/>
            </w:tcMar>
            <w:vAlign w:val="center"/>
          </w:tcPr>
          <w:p w14:paraId="0257E907">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10001以上</w:t>
            </w:r>
          </w:p>
        </w:tc>
        <w:tc>
          <w:tcPr>
            <w:tcW w:w="2612" w:type="dxa"/>
            <w:shd w:val="solid" w:color="FFFFFF" w:fill="auto"/>
            <w:noWrap w:val="0"/>
            <w:tcMar>
              <w:top w:w="0" w:type="dxa"/>
              <w:left w:w="108" w:type="dxa"/>
              <w:bottom w:w="0" w:type="dxa"/>
              <w:right w:w="108" w:type="dxa"/>
            </w:tcMar>
            <w:vAlign w:val="center"/>
          </w:tcPr>
          <w:p w14:paraId="72225A9E">
            <w:pPr>
              <w:keepNext w:val="0"/>
              <w:keepLines w:val="0"/>
              <w:pageBreakBefore w:val="0"/>
              <w:widowControl w:val="0"/>
              <w:kinsoku/>
              <w:wordWrap/>
              <w:overflowPunct/>
              <w:topLinePunct w:val="0"/>
              <w:autoSpaceDE/>
              <w:bidi w:val="0"/>
              <w:adjustRightInd/>
              <w:spacing w:line="560" w:lineRule="exact"/>
              <w:ind w:right="50" w:rightChars="24" w:firstLine="560" w:firstLineChars="200"/>
              <w:textAlignment w:val="auto"/>
              <w:rPr>
                <w:rFonts w:hint="eastAsia" w:ascii="仿宋_GB2312" w:hAnsi="Times New Roman" w:eastAsia="仿宋_GB2312" w:cs="Times New Roman"/>
                <w:color w:val="auto"/>
                <w:sz w:val="28"/>
                <w:szCs w:val="24"/>
                <w:highlight w:val="none"/>
              </w:rPr>
            </w:pPr>
            <w:r>
              <w:rPr>
                <w:rFonts w:hint="eastAsia" w:ascii="仿宋_GB2312" w:hAnsi="Times New Roman" w:eastAsia="仿宋_GB2312" w:cs="Times New Roman"/>
                <w:color w:val="auto"/>
                <w:sz w:val="28"/>
                <w:szCs w:val="24"/>
                <w:highlight w:val="none"/>
              </w:rPr>
              <w:t>0.1</w:t>
            </w:r>
          </w:p>
        </w:tc>
      </w:tr>
    </w:tbl>
    <w:p w14:paraId="5C9D7B7C">
      <w:pPr>
        <w:keepNext w:val="0"/>
        <w:keepLines w:val="0"/>
        <w:pageBreakBefore w:val="0"/>
        <w:widowControl w:val="0"/>
        <w:kinsoku/>
        <w:wordWrap/>
        <w:overflowPunct/>
        <w:topLinePunct w:val="0"/>
        <w:autoSpaceDE/>
        <w:autoSpaceDN/>
        <w:bidi w:val="0"/>
        <w:adjustRightInd/>
        <w:snapToGrid/>
        <w:spacing w:line="560" w:lineRule="exact"/>
        <w:ind w:firstLine="548" w:firstLineChars="196"/>
        <w:jc w:val="left"/>
        <w:textAlignment w:val="auto"/>
        <w:rPr>
          <w:rFonts w:hint="eastAsia" w:ascii="仿宋_GB2312" w:hAnsi="Times New Roman" w:eastAsia="仿宋_GB2312" w:cs="Times New Roman"/>
          <w:color w:val="auto"/>
          <w:sz w:val="28"/>
          <w:highlight w:val="none"/>
          <w:lang w:val="en-US" w:eastAsia="zh-CN"/>
        </w:rPr>
      </w:pPr>
      <w:r>
        <w:rPr>
          <w:rFonts w:hint="eastAsia" w:ascii="仿宋_GB2312" w:eastAsia="仿宋_GB2312"/>
          <w:color w:val="auto"/>
          <w:sz w:val="28"/>
          <w:highlight w:val="none"/>
          <w:u w:val="none"/>
          <w:lang w:val="en-US" w:eastAsia="zh-CN"/>
        </w:rPr>
        <w:t>评估服务费以本次评估标的的总价值为计费基数</w:t>
      </w:r>
      <w:r>
        <w:rPr>
          <w:rFonts w:hint="default" w:ascii="Arial" w:hAnsi="Arial" w:eastAsia="仿宋_GB2312" w:cs="Arial"/>
          <w:color w:val="auto"/>
          <w:sz w:val="28"/>
          <w:highlight w:val="none"/>
          <w:u w:val="none"/>
          <w:lang w:val="en-US" w:eastAsia="zh-CN"/>
        </w:rPr>
        <w:t>×</w:t>
      </w:r>
      <w:r>
        <w:rPr>
          <w:rFonts w:hint="eastAsia" w:ascii="仿宋_GB2312" w:eastAsia="仿宋_GB2312"/>
          <w:color w:val="auto"/>
          <w:sz w:val="28"/>
          <w:highlight w:val="none"/>
          <w:u w:val="none"/>
          <w:lang w:val="en-US" w:eastAsia="zh-CN"/>
        </w:rPr>
        <w:t>评估服务费率</w:t>
      </w:r>
      <w:r>
        <w:rPr>
          <w:rFonts w:hint="default" w:ascii="Arial" w:hAnsi="Arial" w:eastAsia="仿宋_GB2312" w:cs="Arial"/>
          <w:color w:val="auto"/>
          <w:sz w:val="28"/>
          <w:highlight w:val="none"/>
          <w:u w:val="none"/>
          <w:lang w:val="en-US" w:eastAsia="zh-CN"/>
        </w:rPr>
        <w:t>×</w:t>
      </w:r>
      <w:r>
        <w:rPr>
          <w:rFonts w:hint="eastAsia" w:ascii="仿宋_GB2312" w:eastAsia="仿宋_GB2312"/>
          <w:color w:val="auto"/>
          <w:sz w:val="28"/>
          <w:highlight w:val="none"/>
          <w:u w:val="none"/>
          <w:lang w:val="en-US" w:eastAsia="zh-CN"/>
        </w:rPr>
        <w:t>（1</w:t>
      </w:r>
      <w:r>
        <w:rPr>
          <w:rFonts w:hint="eastAsia" w:ascii="宋体" w:hAnsi="宋体" w:eastAsia="宋体" w:cs="宋体"/>
          <w:color w:val="auto"/>
          <w:sz w:val="28"/>
          <w:highlight w:val="none"/>
          <w:u w:val="none"/>
          <w:lang w:val="en-US" w:eastAsia="zh-CN"/>
        </w:rPr>
        <w:t>－</w:t>
      </w:r>
      <w:r>
        <w:rPr>
          <w:rFonts w:hint="eastAsia" w:ascii="仿宋_GB2312" w:eastAsia="仿宋_GB2312"/>
          <w:color w:val="auto"/>
          <w:sz w:val="28"/>
          <w:highlight w:val="none"/>
          <w:u w:val="none"/>
          <w:lang w:val="en-US" w:eastAsia="zh-CN"/>
        </w:rPr>
        <w:t>中标下浮系数）计取，如最终计算的服务费超出</w:t>
      </w:r>
      <w:r>
        <w:rPr>
          <w:rFonts w:hint="eastAsia" w:ascii="仿宋_GB2312" w:hAnsi="Times New Roman" w:eastAsia="仿宋_GB2312" w:cs="Times New Roman"/>
          <w:color w:val="auto"/>
          <w:sz w:val="28"/>
          <w:highlight w:val="none"/>
          <w:lang w:val="en-US" w:eastAsia="zh-CN"/>
        </w:rPr>
        <w:t>2.5万元的，按2.5万元（含税）支付，少于2.5万元按实际支付。</w:t>
      </w:r>
    </w:p>
    <w:p w14:paraId="1BDAB1A0">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eastAsia" w:ascii="仿宋_GB2312" w:hAnsi="Times New Roman" w:eastAsia="仿宋_GB2312" w:cs="Times New Roman"/>
          <w:color w:val="auto"/>
          <w:sz w:val="28"/>
          <w:highlight w:val="none"/>
          <w:lang w:val="en-US" w:eastAsia="zh-CN"/>
        </w:rPr>
      </w:pPr>
      <w:r>
        <w:rPr>
          <w:rFonts w:hint="eastAsia" w:ascii="仿宋_GB2312" w:hAnsi="Times New Roman" w:eastAsia="仿宋_GB2312" w:cs="Times New Roman"/>
          <w:color w:val="auto"/>
          <w:sz w:val="28"/>
          <w:highlight w:val="none"/>
          <w:lang w:val="en-US" w:eastAsia="zh-CN"/>
        </w:rPr>
        <w:t>2.以上费用包含但不限于技术工作费、人工费、材料费、差旅费、管理费、设备、劳务、邮寄费、维护、保险、利润及税金、管理政策性规定费用等。</w:t>
      </w:r>
    </w:p>
    <w:p w14:paraId="1BFA182D">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eastAsia" w:ascii="仿宋_GB2312" w:hAnsi="Times New Roman" w:eastAsia="仿宋_GB2312" w:cs="Times New Roman"/>
          <w:color w:val="auto"/>
          <w:sz w:val="28"/>
          <w:highlight w:val="none"/>
          <w:lang w:val="en-US" w:eastAsia="zh-CN"/>
        </w:rPr>
      </w:pPr>
      <w:r>
        <w:rPr>
          <w:rFonts w:hint="eastAsia" w:ascii="仿宋_GB2312" w:hAnsi="Times New Roman" w:eastAsia="仿宋_GB2312" w:cs="Times New Roman"/>
          <w:color w:val="auto"/>
          <w:sz w:val="28"/>
          <w:highlight w:val="none"/>
          <w:lang w:val="en-US" w:eastAsia="zh-CN"/>
        </w:rPr>
        <w:t>3.支付方式：乙方在规定的时间节点内完成本项目的所有评估工作，并出具完整性、真实性、合法性的评估报告，评估报告经甲方审核无误后，一次付清评估服务费。款项支付前，乙方应按照甲方的要求提供有效等额的增值税专用发票（注：</w:t>
      </w:r>
      <w:r>
        <w:rPr>
          <w:rFonts w:hint="eastAsia" w:ascii="仿宋_GB2312" w:hAnsi="Times New Roman" w:eastAsia="仿宋_GB2312" w:cs="Times New Roman"/>
          <w:color w:val="auto"/>
          <w:sz w:val="28"/>
          <w:highlight w:val="none"/>
          <w:lang w:val="en-US" w:eastAsia="zh-CN"/>
        </w:rPr>
        <w:sym w:font="Wingdings" w:char="00A8"/>
      </w:r>
      <w:r>
        <w:rPr>
          <w:rFonts w:hint="eastAsia" w:ascii="仿宋_GB2312" w:hAnsi="Times New Roman" w:eastAsia="仿宋_GB2312" w:cs="Times New Roman"/>
          <w:color w:val="auto"/>
          <w:sz w:val="28"/>
          <w:highlight w:val="none"/>
          <w:lang w:val="en-US" w:eastAsia="zh-CN"/>
        </w:rPr>
        <w:t>小规模纳税人税率为3%，</w:t>
      </w:r>
      <w:r>
        <w:rPr>
          <w:rFonts w:hint="eastAsia" w:ascii="仿宋_GB2312" w:hAnsi="Times New Roman" w:eastAsia="仿宋_GB2312" w:cs="Times New Roman"/>
          <w:color w:val="auto"/>
          <w:sz w:val="28"/>
          <w:highlight w:val="none"/>
          <w:lang w:val="en-US" w:eastAsia="zh-CN"/>
        </w:rPr>
        <w:sym w:font="Wingdings" w:char="00A8"/>
      </w:r>
      <w:r>
        <w:rPr>
          <w:rFonts w:hint="eastAsia" w:ascii="仿宋_GB2312" w:hAnsi="Times New Roman" w:eastAsia="仿宋_GB2312" w:cs="Times New Roman"/>
          <w:color w:val="auto"/>
          <w:sz w:val="28"/>
          <w:highlight w:val="none"/>
          <w:lang w:val="en-US" w:eastAsia="zh-CN"/>
        </w:rPr>
        <w:t>一般纳税人税率为 6%)、请款函等材料，甲方确认无误后，15个工作日内完成支付。</w:t>
      </w:r>
    </w:p>
    <w:p w14:paraId="18D61389">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eastAsia" w:ascii="仿宋_GB2312" w:hAnsi="Times New Roman" w:eastAsia="仿宋_GB2312" w:cs="Times New Roman"/>
          <w:color w:val="auto"/>
          <w:sz w:val="28"/>
          <w:highlight w:val="none"/>
          <w:lang w:val="en-US" w:eastAsia="zh-CN"/>
        </w:rPr>
      </w:pPr>
      <w:r>
        <w:rPr>
          <w:rFonts w:hint="eastAsia" w:ascii="仿宋_GB2312" w:hAnsi="Times New Roman" w:eastAsia="仿宋_GB2312" w:cs="Times New Roman"/>
          <w:color w:val="auto"/>
          <w:sz w:val="28"/>
          <w:highlight w:val="none"/>
          <w:lang w:val="en-US" w:eastAsia="zh-CN"/>
        </w:rPr>
        <w:t>4.乙方指定收款账号信息如下：</w:t>
      </w:r>
    </w:p>
    <w:p w14:paraId="16F1F9C7">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default" w:ascii="仿宋_GB2312" w:hAnsi="Times New Roman" w:eastAsia="仿宋_GB2312" w:cs="Times New Roman"/>
          <w:color w:val="auto"/>
          <w:sz w:val="28"/>
          <w:highlight w:val="none"/>
          <w:u w:val="single"/>
          <w:lang w:val="en-US" w:eastAsia="zh-CN"/>
        </w:rPr>
      </w:pPr>
      <w:r>
        <w:rPr>
          <w:rFonts w:hint="eastAsia" w:ascii="仿宋_GB2312" w:hAnsi="Times New Roman" w:eastAsia="仿宋_GB2312" w:cs="Times New Roman"/>
          <w:color w:val="auto"/>
          <w:sz w:val="28"/>
          <w:highlight w:val="none"/>
          <w:lang w:val="en-US" w:eastAsia="zh-CN"/>
        </w:rPr>
        <w:t>开户名：</w:t>
      </w:r>
      <w:r>
        <w:rPr>
          <w:rFonts w:hint="eastAsia" w:ascii="仿宋_GB2312" w:hAnsi="Times New Roman" w:eastAsia="仿宋_GB2312" w:cs="Times New Roman"/>
          <w:color w:val="auto"/>
          <w:sz w:val="28"/>
          <w:highlight w:val="none"/>
          <w:u w:val="single"/>
          <w:lang w:val="en-US" w:eastAsia="zh-CN"/>
        </w:rPr>
        <w:t xml:space="preserve">                               </w:t>
      </w:r>
    </w:p>
    <w:p w14:paraId="65FDABE5">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default" w:ascii="仿宋_GB2312" w:hAnsi="Times New Roman" w:eastAsia="仿宋_GB2312" w:cs="Times New Roman"/>
          <w:color w:val="auto"/>
          <w:sz w:val="28"/>
          <w:highlight w:val="none"/>
          <w:u w:val="single"/>
          <w:lang w:val="en-US" w:eastAsia="zh-CN"/>
        </w:rPr>
      </w:pPr>
      <w:r>
        <w:rPr>
          <w:rFonts w:hint="eastAsia" w:ascii="仿宋_GB2312" w:hAnsi="Times New Roman" w:eastAsia="仿宋_GB2312" w:cs="Times New Roman"/>
          <w:color w:val="auto"/>
          <w:sz w:val="28"/>
          <w:highlight w:val="none"/>
          <w:lang w:val="en-US" w:eastAsia="zh-CN"/>
        </w:rPr>
        <w:t>开户行：</w:t>
      </w:r>
      <w:r>
        <w:rPr>
          <w:rFonts w:hint="eastAsia" w:ascii="仿宋_GB2312" w:hAnsi="Times New Roman" w:eastAsia="仿宋_GB2312" w:cs="Times New Roman"/>
          <w:color w:val="auto"/>
          <w:sz w:val="28"/>
          <w:highlight w:val="none"/>
          <w:u w:val="single"/>
          <w:lang w:val="en-US" w:eastAsia="zh-CN"/>
        </w:rPr>
        <w:t xml:space="preserve">                               </w:t>
      </w:r>
    </w:p>
    <w:p w14:paraId="620B58B6">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default" w:ascii="仿宋_GB2312" w:hAnsi="Times New Roman" w:eastAsia="仿宋_GB2312" w:cs="Times New Roman"/>
          <w:color w:val="auto"/>
          <w:sz w:val="28"/>
          <w:highlight w:val="none"/>
          <w:u w:val="single"/>
          <w:lang w:val="en-US" w:eastAsia="zh-CN"/>
        </w:rPr>
      </w:pPr>
      <w:r>
        <w:rPr>
          <w:rFonts w:hint="eastAsia" w:ascii="仿宋_GB2312" w:hAnsi="Times New Roman" w:eastAsia="仿宋_GB2312" w:cs="Times New Roman"/>
          <w:color w:val="auto"/>
          <w:sz w:val="28"/>
          <w:highlight w:val="none"/>
          <w:lang w:val="en-US" w:eastAsia="zh-CN"/>
        </w:rPr>
        <w:t>账  号：</w:t>
      </w:r>
      <w:r>
        <w:rPr>
          <w:rFonts w:hint="eastAsia" w:ascii="仿宋_GB2312" w:hAnsi="Times New Roman" w:eastAsia="仿宋_GB2312" w:cs="Times New Roman"/>
          <w:color w:val="auto"/>
          <w:sz w:val="28"/>
          <w:highlight w:val="none"/>
          <w:u w:val="single"/>
          <w:lang w:val="en-US" w:eastAsia="zh-CN"/>
        </w:rPr>
        <w:t xml:space="preserve">                               </w:t>
      </w:r>
    </w:p>
    <w:p w14:paraId="603E5645">
      <w:pPr>
        <w:keepNext w:val="0"/>
        <w:keepLines w:val="0"/>
        <w:pageBreakBefore w:val="0"/>
        <w:widowControl w:val="0"/>
        <w:numPr>
          <w:ilvl w:val="0"/>
          <w:numId w:val="1"/>
        </w:numPr>
        <w:tabs>
          <w:tab w:val="left" w:pos="312"/>
        </w:tabs>
        <w:kinsoku/>
        <w:wordWrap/>
        <w:overflowPunct/>
        <w:topLinePunct w:val="0"/>
        <w:autoSpaceDE/>
        <w:autoSpaceDN/>
        <w:bidi w:val="0"/>
        <w:adjustRightInd/>
        <w:snapToGrid/>
        <w:spacing w:line="560" w:lineRule="exact"/>
        <w:ind w:right="50" w:rightChars="24" w:firstLine="562" w:firstLineChars="200"/>
        <w:jc w:val="both"/>
        <w:textAlignment w:val="auto"/>
        <w:rPr>
          <w:rFonts w:hint="eastAsia" w:ascii="仿宋_GB2312" w:eastAsia="仿宋_GB2312"/>
          <w:color w:val="auto"/>
          <w:sz w:val="28"/>
          <w:highlight w:val="none"/>
          <w:lang w:val="en-US" w:eastAsia="zh-CN"/>
        </w:rPr>
      </w:pPr>
      <w:r>
        <w:rPr>
          <w:rFonts w:hint="eastAsia" w:ascii="仿宋_GB2312" w:eastAsia="仿宋_GB2312"/>
          <w:b/>
          <w:color w:val="auto"/>
          <w:sz w:val="28"/>
          <w:highlight w:val="none"/>
          <w:lang w:val="en-US" w:eastAsia="zh-CN"/>
        </w:rPr>
        <w:t>评估报告交付</w:t>
      </w:r>
      <w:r>
        <w:rPr>
          <w:rFonts w:hint="eastAsia" w:ascii="仿宋_GB2312" w:eastAsia="仿宋_GB2312"/>
          <w:color w:val="auto"/>
          <w:sz w:val="28"/>
          <w:highlight w:val="none"/>
          <w:lang w:val="en-US" w:eastAsia="zh-CN"/>
        </w:rPr>
        <w:t xml:space="preserve"> </w:t>
      </w:r>
    </w:p>
    <w:p w14:paraId="3A88D2B3">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eastAsia" w:ascii="仿宋_GB2312" w:hAnsi="Times New Roman" w:eastAsia="仿宋_GB2312" w:cs="Times New Roman"/>
          <w:color w:val="auto"/>
          <w:sz w:val="28"/>
          <w:highlight w:val="none"/>
          <w:lang w:val="en-US" w:eastAsia="zh-CN"/>
        </w:rPr>
      </w:pPr>
      <w:r>
        <w:rPr>
          <w:rFonts w:hint="eastAsia" w:ascii="仿宋_GB2312" w:hAnsi="Times New Roman" w:eastAsia="仿宋_GB2312" w:cs="Times New Roman"/>
          <w:color w:val="auto"/>
          <w:sz w:val="28"/>
          <w:highlight w:val="none"/>
          <w:lang w:val="en-US" w:eastAsia="zh-CN"/>
        </w:rPr>
        <w:t>1.报告交付时间形式：</w:t>
      </w:r>
      <w:r>
        <w:rPr>
          <w:rFonts w:hint="eastAsia" w:ascii="仿宋_GB2312" w:hAnsi="Times New Roman" w:eastAsia="仿宋_GB2312" w:cs="Times New Roman"/>
          <w:color w:val="auto"/>
          <w:sz w:val="28"/>
          <w:highlight w:val="none"/>
          <w:lang w:val="en-US" w:eastAsia="zh-CN"/>
        </w:rPr>
        <w:sym w:font="Wingdings" w:char="00FE"/>
      </w:r>
      <w:r>
        <w:rPr>
          <w:rFonts w:hint="eastAsia" w:ascii="仿宋_GB2312" w:hAnsi="Times New Roman" w:eastAsia="仿宋_GB2312" w:cs="Times New Roman"/>
          <w:color w:val="auto"/>
          <w:sz w:val="28"/>
          <w:highlight w:val="none"/>
          <w:lang w:val="en-US" w:eastAsia="zh-CN"/>
        </w:rPr>
        <w:t>纸质报告4份；</w:t>
      </w:r>
      <w:r>
        <w:rPr>
          <w:rFonts w:hint="eastAsia" w:ascii="仿宋_GB2312" w:hAnsi="Times New Roman" w:eastAsia="仿宋_GB2312" w:cs="Times New Roman"/>
          <w:color w:val="auto"/>
          <w:sz w:val="28"/>
          <w:highlight w:val="none"/>
          <w:lang w:val="en-US" w:eastAsia="zh-CN"/>
        </w:rPr>
        <w:sym w:font="Wingdings" w:char="00FE"/>
      </w:r>
      <w:r>
        <w:rPr>
          <w:rFonts w:hint="eastAsia" w:ascii="仿宋_GB2312" w:hAnsi="Times New Roman" w:eastAsia="仿宋_GB2312" w:cs="Times New Roman"/>
          <w:color w:val="auto"/>
          <w:sz w:val="28"/>
          <w:highlight w:val="none"/>
          <w:lang w:val="en-US" w:eastAsia="zh-CN"/>
        </w:rPr>
        <w:t>电子版报告1份。</w:t>
      </w:r>
    </w:p>
    <w:p w14:paraId="17238AF8">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eastAsia" w:ascii="仿宋_GB2312" w:hAnsi="Times New Roman" w:eastAsia="仿宋_GB2312" w:cs="Times New Roman"/>
          <w:color w:val="auto"/>
          <w:sz w:val="28"/>
          <w:highlight w:val="none"/>
          <w:lang w:val="en-US" w:eastAsia="zh-CN"/>
        </w:rPr>
      </w:pPr>
      <w:r>
        <w:rPr>
          <w:rFonts w:hint="eastAsia" w:ascii="仿宋_GB2312" w:hAnsi="Times New Roman" w:eastAsia="仿宋_GB2312" w:cs="Times New Roman"/>
          <w:color w:val="auto"/>
          <w:sz w:val="28"/>
          <w:highlight w:val="none"/>
          <w:lang w:val="en-US" w:eastAsia="zh-CN"/>
        </w:rPr>
        <w:t>2.交付时间：</w:t>
      </w:r>
      <w:r>
        <w:rPr>
          <w:rFonts w:hint="eastAsia" w:ascii="仿宋_GB2312" w:hAnsi="Times New Roman" w:eastAsia="仿宋_GB2312" w:cs="Times New Roman"/>
          <w:color w:val="auto"/>
          <w:sz w:val="28"/>
          <w:highlight w:val="none"/>
          <w:u w:val="single"/>
          <w:lang w:val="en-US" w:eastAsia="zh-CN"/>
        </w:rPr>
        <w:t xml:space="preserve">         </w:t>
      </w:r>
      <w:r>
        <w:rPr>
          <w:rFonts w:hint="eastAsia" w:ascii="仿宋_GB2312" w:hAnsi="Times New Roman" w:eastAsia="仿宋_GB2312" w:cs="Times New Roman"/>
          <w:color w:val="auto"/>
          <w:sz w:val="28"/>
          <w:highlight w:val="none"/>
          <w:lang w:val="en-US" w:eastAsia="zh-CN"/>
        </w:rPr>
        <w:t xml:space="preserve"> 年</w:t>
      </w:r>
      <w:r>
        <w:rPr>
          <w:rFonts w:hint="eastAsia" w:ascii="仿宋_GB2312" w:hAnsi="Times New Roman" w:eastAsia="仿宋_GB2312" w:cs="Times New Roman"/>
          <w:color w:val="auto"/>
          <w:sz w:val="28"/>
          <w:highlight w:val="none"/>
          <w:u w:val="single"/>
          <w:lang w:val="en-US" w:eastAsia="zh-CN"/>
        </w:rPr>
        <w:t xml:space="preserve">      </w:t>
      </w:r>
      <w:r>
        <w:rPr>
          <w:rFonts w:hint="eastAsia" w:ascii="仿宋_GB2312" w:hAnsi="Times New Roman" w:eastAsia="仿宋_GB2312" w:cs="Times New Roman"/>
          <w:color w:val="auto"/>
          <w:sz w:val="28"/>
          <w:highlight w:val="none"/>
          <w:lang w:val="en-US" w:eastAsia="zh-CN"/>
        </w:rPr>
        <w:t xml:space="preserve">  月</w:t>
      </w:r>
      <w:r>
        <w:rPr>
          <w:rFonts w:hint="eastAsia" w:ascii="仿宋_GB2312" w:hAnsi="Times New Roman" w:eastAsia="仿宋_GB2312" w:cs="Times New Roman"/>
          <w:color w:val="auto"/>
          <w:sz w:val="28"/>
          <w:highlight w:val="none"/>
          <w:u w:val="single"/>
          <w:lang w:val="en-US" w:eastAsia="zh-CN"/>
        </w:rPr>
        <w:t xml:space="preserve">      </w:t>
      </w:r>
      <w:r>
        <w:rPr>
          <w:rFonts w:hint="eastAsia" w:ascii="仿宋_GB2312" w:hAnsi="Times New Roman" w:eastAsia="仿宋_GB2312" w:cs="Times New Roman"/>
          <w:color w:val="auto"/>
          <w:sz w:val="28"/>
          <w:highlight w:val="none"/>
          <w:lang w:val="en-US" w:eastAsia="zh-CN"/>
        </w:rPr>
        <w:t>日前。</w:t>
      </w:r>
    </w:p>
    <w:p w14:paraId="6A8A38E9">
      <w:pPr>
        <w:pStyle w:val="2"/>
        <w:keepNext w:val="0"/>
        <w:keepLines w:val="0"/>
        <w:pageBreakBefore w:val="0"/>
        <w:widowControl w:val="0"/>
        <w:kinsoku/>
        <w:wordWrap/>
        <w:overflowPunct/>
        <w:topLinePunct w:val="0"/>
        <w:autoSpaceDE/>
        <w:bidi w:val="0"/>
        <w:adjustRightInd/>
        <w:spacing w:line="560" w:lineRule="exact"/>
        <w:textAlignment w:val="auto"/>
        <w:rPr>
          <w:rFonts w:hint="default" w:eastAsia="宋体"/>
          <w:lang w:val="en-US" w:eastAsia="zh-CN"/>
        </w:rPr>
      </w:pPr>
      <w:r>
        <w:rPr>
          <w:rFonts w:hint="eastAsia" w:ascii="仿宋_GB2312" w:hAnsi="Times New Roman" w:eastAsia="仿宋_GB2312" w:cs="Times New Roman"/>
          <w:color w:val="auto"/>
          <w:sz w:val="28"/>
          <w:highlight w:val="none"/>
          <w:lang w:val="en-US" w:eastAsia="zh-CN"/>
        </w:rPr>
        <w:t xml:space="preserve">    3.报告有效期：自出具之日起12个月。</w:t>
      </w:r>
    </w:p>
    <w:p w14:paraId="05AF9F5D">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50" w:rightChars="24" w:firstLine="562" w:firstLineChars="200"/>
        <w:textAlignment w:val="auto"/>
        <w:rPr>
          <w:rFonts w:hint="default" w:eastAsia="宋体"/>
          <w:lang w:val="en-US" w:eastAsia="zh-CN"/>
        </w:rPr>
      </w:pPr>
      <w:r>
        <w:rPr>
          <w:rFonts w:hint="eastAsia" w:ascii="仿宋_GB2312" w:eastAsia="仿宋_GB2312"/>
          <w:b/>
          <w:color w:val="auto"/>
          <w:sz w:val="28"/>
          <w:highlight w:val="none"/>
        </w:rPr>
        <w:t>违约责任</w:t>
      </w:r>
    </w:p>
    <w:p w14:paraId="5F540094">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eastAsia" w:ascii="仿宋_GB2312" w:eastAsia="仿宋_GB2312"/>
          <w:color w:val="auto"/>
          <w:sz w:val="28"/>
          <w:highlight w:val="none"/>
          <w:lang w:eastAsia="zh-CN"/>
        </w:rPr>
      </w:pPr>
      <w:r>
        <w:rPr>
          <w:rFonts w:hint="eastAsia" w:ascii="仿宋_GB2312" w:eastAsia="仿宋_GB2312"/>
          <w:color w:val="auto"/>
          <w:sz w:val="28"/>
          <w:highlight w:val="none"/>
        </w:rPr>
        <w:t>1.甲方</w:t>
      </w:r>
      <w:r>
        <w:rPr>
          <w:rFonts w:hint="eastAsia" w:ascii="仿宋_GB2312" w:eastAsia="仿宋_GB2312"/>
          <w:color w:val="auto"/>
          <w:sz w:val="28"/>
          <w:highlight w:val="none"/>
          <w:lang w:val="en-US" w:eastAsia="zh-CN"/>
        </w:rPr>
        <w:t>逾期提供房产评估所需资料</w:t>
      </w:r>
      <w:r>
        <w:rPr>
          <w:rFonts w:hint="eastAsia" w:ascii="仿宋_GB2312" w:eastAsia="仿宋_GB2312"/>
          <w:color w:val="auto"/>
          <w:sz w:val="28"/>
          <w:highlight w:val="none"/>
          <w:lang w:eastAsia="zh-CN"/>
        </w:rPr>
        <w:t>，</w:t>
      </w:r>
      <w:r>
        <w:rPr>
          <w:rFonts w:hint="eastAsia" w:ascii="仿宋_GB2312" w:eastAsia="仿宋_GB2312"/>
          <w:color w:val="auto"/>
          <w:sz w:val="28"/>
          <w:highlight w:val="none"/>
        </w:rPr>
        <w:t>乙方</w:t>
      </w:r>
      <w:r>
        <w:rPr>
          <w:rFonts w:hint="eastAsia" w:ascii="仿宋_GB2312" w:eastAsia="仿宋_GB2312"/>
          <w:color w:val="auto"/>
          <w:sz w:val="28"/>
          <w:highlight w:val="none"/>
          <w:lang w:val="en-US" w:eastAsia="zh-CN"/>
        </w:rPr>
        <w:t>可相应顺延提交报告时间。</w:t>
      </w:r>
    </w:p>
    <w:p w14:paraId="6174F428">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default"/>
          <w:lang w:val="en-US" w:eastAsia="zh-CN"/>
        </w:rPr>
      </w:pPr>
      <w:r>
        <w:rPr>
          <w:rFonts w:hint="eastAsia" w:ascii="仿宋_GB2312" w:hAnsi="Times New Roman" w:eastAsia="仿宋_GB2312" w:cs="Times New Roman"/>
          <w:color w:val="auto"/>
          <w:sz w:val="28"/>
          <w:highlight w:val="none"/>
          <w:lang w:val="en-US" w:eastAsia="zh-CN"/>
        </w:rPr>
        <w:t>2.甲方应按本合同约定期限支付评估服务费，每逾期一日，甲方按应付而未付金额的</w:t>
      </w:r>
      <w:r>
        <w:rPr>
          <w:rFonts w:hint="eastAsia" w:ascii="仿宋_GB2312" w:hAnsi="Times New Roman" w:eastAsia="仿宋_GB2312" w:cs="Times New Roman"/>
          <w:color w:val="auto"/>
          <w:sz w:val="28"/>
          <w:highlight w:val="none"/>
          <w:u w:val="none"/>
          <w:lang w:val="en-US" w:eastAsia="zh-CN"/>
        </w:rPr>
        <w:t>1</w:t>
      </w:r>
      <w:r>
        <w:rPr>
          <w:rFonts w:hint="default" w:ascii="Arial" w:hAnsi="Arial" w:eastAsia="仿宋_GB2312" w:cs="Arial"/>
          <w:color w:val="auto"/>
          <w:sz w:val="28"/>
          <w:highlight w:val="none"/>
          <w:u w:val="none"/>
          <w:lang w:val="en-US" w:eastAsia="zh-CN"/>
        </w:rPr>
        <w:t>‰</w:t>
      </w:r>
      <w:r>
        <w:rPr>
          <w:rFonts w:hint="eastAsia" w:ascii="仿宋_GB2312" w:hAnsi="Times New Roman" w:eastAsia="仿宋_GB2312" w:cs="Times New Roman"/>
          <w:color w:val="auto"/>
          <w:sz w:val="28"/>
          <w:highlight w:val="none"/>
          <w:lang w:val="en-US" w:eastAsia="zh-CN"/>
        </w:rPr>
        <w:t>逾期违约金，支付上限为合同金额的2%。</w:t>
      </w:r>
    </w:p>
    <w:p w14:paraId="334654D5">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eastAsia" w:ascii="仿宋_GB2312" w:hAnsi="Times New Roman" w:eastAsia="仿宋_GB2312" w:cs="Times New Roman"/>
          <w:color w:val="auto"/>
          <w:sz w:val="28"/>
          <w:highlight w:val="none"/>
          <w:lang w:val="en-US" w:eastAsia="zh-CN"/>
        </w:rPr>
      </w:pPr>
      <w:r>
        <w:rPr>
          <w:rFonts w:hint="eastAsia" w:ascii="仿宋_GB2312" w:hAnsi="Times New Roman" w:eastAsia="仿宋_GB2312" w:cs="Times New Roman"/>
          <w:color w:val="auto"/>
          <w:sz w:val="28"/>
          <w:highlight w:val="none"/>
          <w:lang w:val="en-US" w:eastAsia="zh-CN"/>
        </w:rPr>
        <w:t>3.乙方截止日期后逾期提交报告成果文件，每逾期一日，需向甲方支付合同金额1‰违约金。</w:t>
      </w:r>
    </w:p>
    <w:p w14:paraId="0B2B5C20">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default"/>
          <w:lang w:val="en-US" w:eastAsia="zh-CN"/>
        </w:rPr>
      </w:pPr>
      <w:r>
        <w:rPr>
          <w:rFonts w:hint="eastAsia" w:ascii="仿宋_GB2312" w:hAnsi="Times New Roman" w:eastAsia="仿宋_GB2312" w:cs="Times New Roman"/>
          <w:color w:val="auto"/>
          <w:sz w:val="28"/>
          <w:highlight w:val="none"/>
          <w:lang w:val="en-US" w:eastAsia="zh-CN"/>
        </w:rPr>
        <w:t>4.乙方出具评估报告不真实（故意低估或高估）存在违规操作、弄虚作假等导致评估结果失效，属于违约，甲方有权直接解除合同，</w:t>
      </w:r>
      <w:r>
        <w:rPr>
          <w:rFonts w:hint="eastAsia" w:ascii="仿宋_GB2312" w:eastAsia="仿宋_GB2312"/>
          <w:color w:val="auto"/>
          <w:sz w:val="28"/>
          <w:highlight w:val="none"/>
          <w:lang w:val="en-US" w:eastAsia="zh-CN"/>
        </w:rPr>
        <w:t>并由乙方向甲方支付</w:t>
      </w:r>
      <w:r>
        <w:rPr>
          <w:rFonts w:hint="eastAsia" w:ascii="仿宋_GB2312" w:hAnsi="Times New Roman" w:eastAsia="仿宋_GB2312" w:cs="Times New Roman"/>
          <w:color w:val="auto"/>
          <w:sz w:val="28"/>
          <w:highlight w:val="none"/>
          <w:lang w:val="en-US" w:eastAsia="zh-CN"/>
        </w:rPr>
        <w:t>评估服务费的20%作为违约金，同时，因维权产生</w:t>
      </w:r>
      <w:r>
        <w:rPr>
          <w:rFonts w:hint="eastAsia" w:ascii="仿宋_GB2312" w:eastAsia="仿宋_GB2312"/>
          <w:color w:val="auto"/>
          <w:sz w:val="28"/>
          <w:highlight w:val="none"/>
          <w:lang w:val="en-US" w:eastAsia="zh-CN"/>
        </w:rPr>
        <w:t>律师费、诉讼费、保全费等均由乙方承担。</w:t>
      </w:r>
    </w:p>
    <w:p w14:paraId="2D33EAAB">
      <w:pPr>
        <w:keepNext w:val="0"/>
        <w:keepLines w:val="0"/>
        <w:pageBreakBefore w:val="0"/>
        <w:widowControl w:val="0"/>
        <w:kinsoku/>
        <w:wordWrap/>
        <w:overflowPunct/>
        <w:topLinePunct w:val="0"/>
        <w:autoSpaceDE/>
        <w:autoSpaceDN/>
        <w:bidi w:val="0"/>
        <w:adjustRightInd/>
        <w:snapToGrid/>
        <w:spacing w:line="560" w:lineRule="exact"/>
        <w:ind w:right="50" w:rightChars="24" w:firstLine="562" w:firstLineChars="200"/>
        <w:textAlignment w:val="auto"/>
        <w:rPr>
          <w:rFonts w:hint="eastAsia" w:ascii="仿宋_GB2312" w:eastAsia="仿宋_GB2312"/>
          <w:b/>
          <w:color w:val="auto"/>
          <w:sz w:val="28"/>
          <w:highlight w:val="none"/>
        </w:rPr>
      </w:pPr>
      <w:r>
        <w:rPr>
          <w:rFonts w:hint="eastAsia" w:ascii="仿宋_GB2312" w:eastAsia="仿宋_GB2312"/>
          <w:b/>
          <w:color w:val="auto"/>
          <w:sz w:val="28"/>
          <w:highlight w:val="none"/>
          <w:lang w:val="en-US" w:eastAsia="zh-CN"/>
        </w:rPr>
        <w:t>七</w:t>
      </w:r>
      <w:r>
        <w:rPr>
          <w:rFonts w:hint="eastAsia" w:ascii="仿宋_GB2312" w:eastAsia="仿宋_GB2312"/>
          <w:b/>
          <w:color w:val="auto"/>
          <w:sz w:val="28"/>
          <w:highlight w:val="none"/>
        </w:rPr>
        <w:t>、合同争议解决方式</w:t>
      </w:r>
    </w:p>
    <w:p w14:paraId="3CFB0C49">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eastAsia" w:ascii="仿宋_GB2312" w:eastAsia="仿宋_GB2312"/>
          <w:color w:val="auto"/>
          <w:sz w:val="28"/>
          <w:highlight w:val="none"/>
        </w:rPr>
      </w:pPr>
      <w:r>
        <w:rPr>
          <w:rFonts w:hint="eastAsia" w:ascii="仿宋_GB2312" w:eastAsia="仿宋_GB2312"/>
          <w:color w:val="auto"/>
          <w:sz w:val="28"/>
          <w:highlight w:val="none"/>
        </w:rPr>
        <w:t>1.本合同未尽事宜，按国家有关法律、法规、规章、政策及标准执行。</w:t>
      </w:r>
    </w:p>
    <w:p w14:paraId="5FAA4516">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eastAsia" w:ascii="仿宋_GB2312" w:eastAsia="仿宋_GB2312"/>
          <w:b/>
          <w:color w:val="auto"/>
          <w:sz w:val="28"/>
          <w:highlight w:val="none"/>
        </w:rPr>
      </w:pPr>
      <w:r>
        <w:rPr>
          <w:rFonts w:hint="eastAsia" w:ascii="仿宋_GB2312" w:eastAsia="仿宋_GB2312"/>
          <w:color w:val="auto"/>
          <w:sz w:val="28"/>
          <w:highlight w:val="none"/>
        </w:rPr>
        <w:t>2.履行本合同中发生的争议，应首先通过协商或调解解决；协商或调解不成，当事人任何一方均可向</w:t>
      </w:r>
      <w:r>
        <w:rPr>
          <w:rFonts w:hint="eastAsia" w:ascii="仿宋_GB2312" w:eastAsia="仿宋_GB2312"/>
          <w:color w:val="auto"/>
          <w:sz w:val="28"/>
          <w:highlight w:val="none"/>
          <w:lang w:val="en-US" w:eastAsia="zh-CN"/>
        </w:rPr>
        <w:t>甲方所在地人民法院</w:t>
      </w:r>
      <w:r>
        <w:rPr>
          <w:rFonts w:hint="eastAsia" w:ascii="仿宋_GB2312" w:eastAsia="仿宋_GB2312"/>
          <w:color w:val="auto"/>
          <w:sz w:val="28"/>
          <w:highlight w:val="none"/>
        </w:rPr>
        <w:t>提起诉讼。</w:t>
      </w:r>
    </w:p>
    <w:p w14:paraId="56B45B0D">
      <w:pPr>
        <w:keepNext w:val="0"/>
        <w:keepLines w:val="0"/>
        <w:pageBreakBefore w:val="0"/>
        <w:widowControl w:val="0"/>
        <w:kinsoku/>
        <w:wordWrap/>
        <w:overflowPunct/>
        <w:topLinePunct w:val="0"/>
        <w:autoSpaceDE/>
        <w:autoSpaceDN/>
        <w:bidi w:val="0"/>
        <w:adjustRightInd/>
        <w:snapToGrid/>
        <w:spacing w:line="560" w:lineRule="exact"/>
        <w:ind w:right="50" w:rightChars="24" w:firstLine="562" w:firstLineChars="200"/>
        <w:textAlignment w:val="auto"/>
        <w:rPr>
          <w:rFonts w:hint="eastAsia" w:ascii="仿宋_GB2312" w:eastAsia="仿宋_GB2312"/>
          <w:b/>
          <w:color w:val="auto"/>
          <w:sz w:val="28"/>
          <w:highlight w:val="none"/>
        </w:rPr>
      </w:pPr>
      <w:r>
        <w:rPr>
          <w:rFonts w:hint="eastAsia" w:ascii="仿宋_GB2312" w:eastAsia="仿宋_GB2312"/>
          <w:b/>
          <w:color w:val="auto"/>
          <w:sz w:val="28"/>
          <w:highlight w:val="none"/>
          <w:lang w:val="en-US" w:eastAsia="zh-CN"/>
        </w:rPr>
        <w:t>八</w:t>
      </w:r>
      <w:r>
        <w:rPr>
          <w:rFonts w:hint="eastAsia" w:ascii="仿宋_GB2312" w:eastAsia="仿宋_GB2312"/>
          <w:b/>
          <w:color w:val="auto"/>
          <w:sz w:val="28"/>
          <w:highlight w:val="none"/>
        </w:rPr>
        <w:t>、合同的生效</w:t>
      </w:r>
    </w:p>
    <w:p w14:paraId="49E0BFCC">
      <w:pPr>
        <w:keepNext w:val="0"/>
        <w:keepLines w:val="0"/>
        <w:pageBreakBefore w:val="0"/>
        <w:widowControl w:val="0"/>
        <w:kinsoku/>
        <w:wordWrap/>
        <w:overflowPunct/>
        <w:topLinePunct w:val="0"/>
        <w:autoSpaceDE/>
        <w:autoSpaceDN/>
        <w:bidi w:val="0"/>
        <w:adjustRightInd/>
        <w:snapToGrid/>
        <w:spacing w:line="560" w:lineRule="exact"/>
        <w:ind w:right="50" w:rightChars="24" w:firstLine="560" w:firstLineChars="200"/>
        <w:textAlignment w:val="auto"/>
        <w:rPr>
          <w:rFonts w:hint="eastAsia" w:ascii="仿宋_GB2312" w:eastAsia="仿宋_GB2312"/>
          <w:color w:val="auto"/>
          <w:sz w:val="28"/>
          <w:highlight w:val="none"/>
        </w:rPr>
      </w:pPr>
      <w:r>
        <w:rPr>
          <w:rFonts w:hint="eastAsia" w:ascii="仿宋_GB2312" w:eastAsia="仿宋_GB2312"/>
          <w:color w:val="auto"/>
          <w:sz w:val="28"/>
          <w:highlight w:val="none"/>
        </w:rPr>
        <w:t>本合同壹式</w:t>
      </w:r>
      <w:r>
        <w:rPr>
          <w:rFonts w:hint="eastAsia" w:ascii="仿宋_GB2312" w:eastAsia="仿宋_GB2312"/>
          <w:color w:val="auto"/>
          <w:sz w:val="28"/>
          <w:highlight w:val="none"/>
          <w:u w:val="single"/>
        </w:rPr>
        <w:t xml:space="preserve"> </w:t>
      </w:r>
      <w:r>
        <w:rPr>
          <w:rFonts w:hint="eastAsia" w:ascii="仿宋_GB2312" w:eastAsia="仿宋_GB2312"/>
          <w:b/>
          <w:color w:val="auto"/>
          <w:sz w:val="28"/>
          <w:highlight w:val="none"/>
          <w:u w:val="single"/>
        </w:rPr>
        <w:t xml:space="preserve">     </w:t>
      </w:r>
      <w:r>
        <w:rPr>
          <w:rFonts w:hint="eastAsia" w:ascii="仿宋_GB2312" w:eastAsia="仿宋_GB2312"/>
          <w:color w:val="auto"/>
          <w:sz w:val="28"/>
          <w:highlight w:val="none"/>
          <w:u w:val="single"/>
        </w:rPr>
        <w:t xml:space="preserve"> </w:t>
      </w:r>
      <w:r>
        <w:rPr>
          <w:rFonts w:hint="eastAsia" w:ascii="仿宋_GB2312" w:eastAsia="仿宋_GB2312"/>
          <w:color w:val="auto"/>
          <w:sz w:val="28"/>
          <w:highlight w:val="none"/>
        </w:rPr>
        <w:t>份，甲、乙双方各执</w:t>
      </w:r>
      <w:r>
        <w:rPr>
          <w:rFonts w:hint="eastAsia" w:ascii="仿宋_GB2312" w:eastAsia="仿宋_GB2312"/>
          <w:color w:val="auto"/>
          <w:sz w:val="28"/>
          <w:highlight w:val="none"/>
          <w:u w:val="single"/>
        </w:rPr>
        <w:t xml:space="preserve">  </w:t>
      </w:r>
      <w:r>
        <w:rPr>
          <w:rFonts w:hint="eastAsia" w:ascii="仿宋_GB2312" w:eastAsia="仿宋_GB2312"/>
          <w:b/>
          <w:color w:val="auto"/>
          <w:sz w:val="28"/>
          <w:highlight w:val="none"/>
          <w:u w:val="single"/>
        </w:rPr>
        <w:t xml:space="preserve">     </w:t>
      </w:r>
      <w:r>
        <w:rPr>
          <w:rFonts w:hint="eastAsia" w:ascii="仿宋_GB2312" w:eastAsia="仿宋_GB2312"/>
          <w:color w:val="auto"/>
          <w:sz w:val="28"/>
          <w:highlight w:val="none"/>
          <w:u w:val="single"/>
        </w:rPr>
        <w:t xml:space="preserve"> </w:t>
      </w:r>
      <w:r>
        <w:rPr>
          <w:rFonts w:hint="eastAsia" w:ascii="仿宋_GB2312" w:eastAsia="仿宋_GB2312"/>
          <w:color w:val="auto"/>
          <w:sz w:val="28"/>
          <w:highlight w:val="none"/>
        </w:rPr>
        <w:t>份，自甲、乙双方盖章之日</w:t>
      </w:r>
      <w:r>
        <w:rPr>
          <w:rFonts w:hint="eastAsia" w:ascii="仿宋_GB2312" w:eastAsia="仿宋_GB2312"/>
          <w:color w:val="auto"/>
          <w:sz w:val="28"/>
          <w:highlight w:val="none"/>
          <w:lang w:val="en-US" w:eastAsia="zh-CN"/>
        </w:rPr>
        <w:t>起</w:t>
      </w:r>
      <w:r>
        <w:rPr>
          <w:rFonts w:hint="eastAsia" w:ascii="仿宋_GB2312" w:eastAsia="仿宋_GB2312"/>
          <w:color w:val="auto"/>
          <w:sz w:val="28"/>
          <w:highlight w:val="none"/>
        </w:rPr>
        <w:t>生效。未尽事宜，双方另行签订补充协议，补充协议与本合同具有同等法律效力。</w:t>
      </w:r>
    </w:p>
    <w:p w14:paraId="6BFB4B28">
      <w:pPr>
        <w:pStyle w:val="2"/>
        <w:rPr>
          <w:rFonts w:hint="eastAsia" w:ascii="仿宋_GB2312" w:eastAsia="仿宋_GB2312"/>
          <w:color w:val="auto"/>
          <w:sz w:val="28"/>
          <w:highlight w:val="none"/>
        </w:rPr>
      </w:pPr>
    </w:p>
    <w:p w14:paraId="67705912">
      <w:pPr>
        <w:pStyle w:val="2"/>
        <w:rPr>
          <w:rFonts w:hint="eastAsia" w:ascii="仿宋_GB2312" w:eastAsia="仿宋_GB2312"/>
          <w:color w:val="auto"/>
          <w:sz w:val="28"/>
          <w:highlight w:val="none"/>
        </w:rPr>
      </w:pPr>
    </w:p>
    <w:p w14:paraId="17743451">
      <w:pPr>
        <w:pStyle w:val="2"/>
        <w:rPr>
          <w:rFonts w:hint="eastAsia" w:ascii="仿宋_GB2312" w:eastAsia="仿宋_GB2312"/>
          <w:color w:val="auto"/>
          <w:sz w:val="28"/>
          <w:highlight w:val="none"/>
        </w:rPr>
      </w:pPr>
    </w:p>
    <w:p w14:paraId="2C06A2B8">
      <w:pPr>
        <w:pStyle w:val="2"/>
        <w:rPr>
          <w:rFonts w:hint="eastAsia" w:ascii="仿宋_GB2312" w:eastAsia="仿宋_GB2312"/>
          <w:color w:val="auto"/>
          <w:sz w:val="28"/>
          <w:highlight w:val="none"/>
        </w:rPr>
      </w:pPr>
    </w:p>
    <w:p w14:paraId="4116E915">
      <w:pPr>
        <w:pStyle w:val="2"/>
        <w:rPr>
          <w:rFonts w:hint="eastAsia" w:ascii="仿宋_GB2312" w:eastAsia="仿宋_GB2312"/>
          <w:color w:val="auto"/>
          <w:sz w:val="28"/>
          <w:highlight w:val="none"/>
        </w:rPr>
      </w:pPr>
    </w:p>
    <w:p w14:paraId="1E6FE928">
      <w:pPr>
        <w:pStyle w:val="2"/>
        <w:rPr>
          <w:rFonts w:hint="eastAsia" w:ascii="仿宋_GB2312" w:eastAsia="仿宋_GB2312"/>
          <w:color w:val="auto"/>
          <w:sz w:val="28"/>
          <w:highlight w:val="none"/>
        </w:rPr>
      </w:pPr>
    </w:p>
    <w:p w14:paraId="5A0B4883">
      <w:pPr>
        <w:pStyle w:val="2"/>
        <w:rPr>
          <w:rFonts w:hint="eastAsia" w:ascii="仿宋_GB2312" w:eastAsia="仿宋_GB2312"/>
          <w:color w:val="auto"/>
          <w:sz w:val="28"/>
          <w:highlight w:val="none"/>
        </w:rPr>
      </w:pPr>
    </w:p>
    <w:p w14:paraId="0597A805">
      <w:pPr>
        <w:pStyle w:val="2"/>
        <w:rPr>
          <w:rFonts w:hint="eastAsia" w:ascii="仿宋_GB2312" w:eastAsia="仿宋_GB2312"/>
          <w:color w:val="auto"/>
          <w:sz w:val="28"/>
          <w:highlight w:val="none"/>
        </w:rPr>
      </w:pPr>
    </w:p>
    <w:p w14:paraId="04B2C911">
      <w:pPr>
        <w:pStyle w:val="2"/>
        <w:rPr>
          <w:rFonts w:hint="eastAsia" w:ascii="仿宋_GB2312" w:eastAsia="仿宋_GB2312"/>
          <w:color w:val="auto"/>
          <w:sz w:val="28"/>
          <w:highlight w:val="none"/>
        </w:rPr>
      </w:pPr>
    </w:p>
    <w:p w14:paraId="4F9855FA">
      <w:pPr>
        <w:pStyle w:val="2"/>
        <w:rPr>
          <w:rFonts w:hint="eastAsia" w:ascii="仿宋_GB2312" w:eastAsia="仿宋_GB2312"/>
          <w:color w:val="auto"/>
          <w:sz w:val="28"/>
          <w:highlight w:val="none"/>
        </w:rPr>
      </w:pPr>
    </w:p>
    <w:p w14:paraId="6AD8FF37">
      <w:pPr>
        <w:pStyle w:val="2"/>
        <w:rPr>
          <w:rFonts w:hint="eastAsia" w:ascii="仿宋_GB2312" w:eastAsia="仿宋_GB2312"/>
          <w:color w:val="auto"/>
          <w:sz w:val="28"/>
          <w:highlight w:val="none"/>
        </w:rPr>
      </w:pPr>
    </w:p>
    <w:p w14:paraId="33971A7C">
      <w:pPr>
        <w:pStyle w:val="2"/>
        <w:rPr>
          <w:rFonts w:hint="eastAsia" w:ascii="仿宋_GB2312" w:eastAsia="仿宋_GB2312"/>
          <w:color w:val="auto"/>
          <w:sz w:val="28"/>
          <w:highlight w:val="none"/>
        </w:rPr>
      </w:pPr>
    </w:p>
    <w:p w14:paraId="5928622F">
      <w:pPr>
        <w:pStyle w:val="2"/>
        <w:rPr>
          <w:rFonts w:hint="eastAsia" w:ascii="仿宋_GB2312" w:eastAsia="仿宋_GB2312"/>
          <w:color w:val="auto"/>
          <w:sz w:val="28"/>
          <w:highlight w:val="none"/>
        </w:rPr>
      </w:pPr>
    </w:p>
    <w:p w14:paraId="0E66959E">
      <w:pPr>
        <w:pStyle w:val="2"/>
        <w:rPr>
          <w:rFonts w:hint="eastAsia" w:ascii="仿宋_GB2312" w:eastAsia="仿宋_GB2312"/>
          <w:color w:val="auto"/>
          <w:sz w:val="28"/>
          <w:highlight w:val="none"/>
        </w:rPr>
      </w:pPr>
    </w:p>
    <w:p w14:paraId="3DCA5D0E">
      <w:pPr>
        <w:pStyle w:val="2"/>
        <w:rPr>
          <w:rFonts w:hint="eastAsia" w:ascii="仿宋_GB2312" w:eastAsia="仿宋_GB2312"/>
          <w:color w:val="auto"/>
          <w:sz w:val="28"/>
          <w:highlight w:val="none"/>
        </w:rPr>
      </w:pPr>
      <w:permStart w:id="0" w:edGrp="everyone"/>
      <w:permEnd w:id="0"/>
    </w:p>
    <w:tbl>
      <w:tblPr>
        <w:tblStyle w:val="9"/>
        <w:tblpPr w:leftFromText="180" w:rightFromText="180" w:vertAnchor="text" w:horzAnchor="page" w:tblpX="1718" w:tblpY="356"/>
        <w:tblOverlap w:val="never"/>
        <w:tblW w:w="0" w:type="auto"/>
        <w:jc w:val="center"/>
        <w:tblLayout w:type="fixed"/>
        <w:tblCellMar>
          <w:top w:w="0" w:type="dxa"/>
          <w:left w:w="108" w:type="dxa"/>
          <w:bottom w:w="0" w:type="dxa"/>
          <w:right w:w="108" w:type="dxa"/>
        </w:tblCellMar>
      </w:tblPr>
      <w:tblGrid>
        <w:gridCol w:w="4487"/>
        <w:gridCol w:w="4320"/>
      </w:tblGrid>
      <w:tr w14:paraId="78545E50">
        <w:trPr>
          <w:trHeight w:val="90" w:hRule="atLeast"/>
          <w:jc w:val="center"/>
        </w:trPr>
        <w:tc>
          <w:tcPr>
            <w:tcW w:w="4487" w:type="dxa"/>
            <w:noWrap w:val="0"/>
            <w:vAlign w:val="center"/>
          </w:tcPr>
          <w:p w14:paraId="3F3CE2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sz w:val="28"/>
                <w:szCs w:val="28"/>
                <w:highlight w:val="none"/>
              </w:rPr>
              <w:t>委托</w:t>
            </w:r>
            <w:r>
              <w:rPr>
                <w:rFonts w:hint="eastAsia" w:ascii="宋体" w:hAnsi="宋体" w:eastAsia="宋体" w:cs="宋体"/>
                <w:color w:val="auto"/>
                <w:sz w:val="28"/>
                <w:szCs w:val="28"/>
                <w:highlight w:val="none"/>
                <w:lang w:val="en-US" w:eastAsia="zh-CN"/>
              </w:rPr>
              <w:t>方</w:t>
            </w:r>
            <w:r>
              <w:rPr>
                <w:rFonts w:hint="eastAsia" w:ascii="宋体" w:hAnsi="宋体" w:eastAsia="宋体" w:cs="宋体"/>
                <w:color w:val="auto"/>
                <w:sz w:val="28"/>
                <w:szCs w:val="28"/>
                <w:highlight w:val="none"/>
              </w:rPr>
              <w:t>(盖章)：</w:t>
            </w:r>
          </w:p>
        </w:tc>
        <w:tc>
          <w:tcPr>
            <w:tcW w:w="4320" w:type="dxa"/>
            <w:noWrap w:val="0"/>
            <w:vAlign w:val="center"/>
          </w:tcPr>
          <w:p w14:paraId="1107EC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eastAsia" w:ascii="宋体" w:hAnsi="宋体" w:eastAsia="宋体" w:cs="宋体"/>
                <w:color w:val="auto"/>
                <w:kern w:val="0"/>
                <w:sz w:val="28"/>
                <w:szCs w:val="28"/>
                <w:highlight w:val="none"/>
                <w:lang w:val="en-US" w:eastAsia="zh-CN"/>
              </w:rPr>
            </w:pPr>
            <w:r>
              <w:rPr>
                <w:rFonts w:hint="eastAsia" w:ascii="宋体" w:hAnsi="宋体" w:cs="宋体"/>
                <w:color w:val="auto"/>
                <w:sz w:val="28"/>
                <w:szCs w:val="28"/>
                <w:highlight w:val="none"/>
                <w:lang w:val="en-US" w:eastAsia="zh-CN"/>
              </w:rPr>
              <w:t>咨询方</w:t>
            </w:r>
            <w:r>
              <w:rPr>
                <w:rFonts w:hint="eastAsia" w:ascii="宋体" w:hAnsi="宋体" w:eastAsia="宋体" w:cs="宋体"/>
                <w:color w:val="auto"/>
                <w:sz w:val="28"/>
                <w:szCs w:val="28"/>
                <w:highlight w:val="none"/>
              </w:rPr>
              <w:t>(盖章)：</w:t>
            </w:r>
          </w:p>
        </w:tc>
      </w:tr>
      <w:tr w14:paraId="0A38BBEF">
        <w:tblPrEx>
          <w:tblCellMar>
            <w:top w:w="0" w:type="dxa"/>
            <w:left w:w="108" w:type="dxa"/>
            <w:bottom w:w="0" w:type="dxa"/>
            <w:right w:w="108" w:type="dxa"/>
          </w:tblCellMar>
        </w:tblPrEx>
        <w:trPr>
          <w:trHeight w:val="1126" w:hRule="atLeast"/>
          <w:jc w:val="center"/>
        </w:trPr>
        <w:tc>
          <w:tcPr>
            <w:tcW w:w="4487" w:type="dxa"/>
            <w:noWrap w:val="0"/>
            <w:vAlign w:val="center"/>
          </w:tcPr>
          <w:p w14:paraId="21EF0C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w:t>
            </w:r>
          </w:p>
          <w:p w14:paraId="2DE7F2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授权代理人(签字或盖章)：</w:t>
            </w:r>
          </w:p>
        </w:tc>
        <w:tc>
          <w:tcPr>
            <w:tcW w:w="4320" w:type="dxa"/>
            <w:noWrap w:val="0"/>
            <w:vAlign w:val="center"/>
          </w:tcPr>
          <w:p w14:paraId="5AF38E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w:t>
            </w:r>
          </w:p>
          <w:p w14:paraId="648D74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sz w:val="28"/>
                <w:szCs w:val="28"/>
                <w:highlight w:val="none"/>
              </w:rPr>
              <w:t>授权代理人(签字或盖章)：</w:t>
            </w:r>
          </w:p>
        </w:tc>
      </w:tr>
      <w:tr w14:paraId="42A3513B">
        <w:tblPrEx>
          <w:tblCellMar>
            <w:top w:w="0" w:type="dxa"/>
            <w:left w:w="108" w:type="dxa"/>
            <w:bottom w:w="0" w:type="dxa"/>
            <w:right w:w="108" w:type="dxa"/>
          </w:tblCellMar>
        </w:tblPrEx>
        <w:trPr>
          <w:trHeight w:val="417" w:hRule="atLeast"/>
          <w:jc w:val="center"/>
        </w:trPr>
        <w:tc>
          <w:tcPr>
            <w:tcW w:w="4487" w:type="dxa"/>
            <w:noWrap w:val="0"/>
            <w:vAlign w:val="center"/>
          </w:tcPr>
          <w:p w14:paraId="6CEA92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经 办 人：</w:t>
            </w:r>
          </w:p>
        </w:tc>
        <w:tc>
          <w:tcPr>
            <w:tcW w:w="4320" w:type="dxa"/>
            <w:noWrap w:val="0"/>
            <w:vAlign w:val="center"/>
          </w:tcPr>
          <w:p w14:paraId="03F019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eastAsia" w:ascii="宋体" w:hAnsi="宋体" w:eastAsia="宋体" w:cs="宋体"/>
                <w:b/>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联 系 人：</w:t>
            </w:r>
          </w:p>
        </w:tc>
      </w:tr>
      <w:tr w14:paraId="7C63E3B0">
        <w:tblPrEx>
          <w:tblCellMar>
            <w:top w:w="0" w:type="dxa"/>
            <w:left w:w="108" w:type="dxa"/>
            <w:bottom w:w="0" w:type="dxa"/>
            <w:right w:w="108" w:type="dxa"/>
          </w:tblCellMar>
        </w:tblPrEx>
        <w:trPr>
          <w:trHeight w:val="430" w:hRule="atLeast"/>
          <w:jc w:val="center"/>
        </w:trPr>
        <w:tc>
          <w:tcPr>
            <w:tcW w:w="4487" w:type="dxa"/>
            <w:noWrap w:val="0"/>
            <w:vAlign w:val="center"/>
          </w:tcPr>
          <w:p w14:paraId="7AFB57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电    话：</w:t>
            </w:r>
          </w:p>
        </w:tc>
        <w:tc>
          <w:tcPr>
            <w:tcW w:w="4320" w:type="dxa"/>
            <w:noWrap w:val="0"/>
            <w:vAlign w:val="center"/>
          </w:tcPr>
          <w:p w14:paraId="084C00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default"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电    话：</w:t>
            </w:r>
          </w:p>
        </w:tc>
      </w:tr>
      <w:tr w14:paraId="2D85688D">
        <w:tblPrEx>
          <w:tblCellMar>
            <w:top w:w="0" w:type="dxa"/>
            <w:left w:w="108" w:type="dxa"/>
            <w:bottom w:w="0" w:type="dxa"/>
            <w:right w:w="108" w:type="dxa"/>
          </w:tblCellMar>
        </w:tblPrEx>
        <w:trPr>
          <w:trHeight w:val="404" w:hRule="atLeast"/>
          <w:jc w:val="center"/>
        </w:trPr>
        <w:tc>
          <w:tcPr>
            <w:tcW w:w="4487" w:type="dxa"/>
            <w:noWrap w:val="0"/>
            <w:vAlign w:val="center"/>
          </w:tcPr>
          <w:p w14:paraId="558055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地    址：</w:t>
            </w:r>
          </w:p>
        </w:tc>
        <w:tc>
          <w:tcPr>
            <w:tcW w:w="4320" w:type="dxa"/>
            <w:noWrap w:val="0"/>
            <w:vAlign w:val="center"/>
          </w:tcPr>
          <w:p w14:paraId="5CA8EE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地    址：</w:t>
            </w:r>
          </w:p>
        </w:tc>
      </w:tr>
      <w:tr w14:paraId="3624F1C7">
        <w:tblPrEx>
          <w:tblCellMar>
            <w:top w:w="0" w:type="dxa"/>
            <w:left w:w="108" w:type="dxa"/>
            <w:bottom w:w="0" w:type="dxa"/>
            <w:right w:w="108" w:type="dxa"/>
          </w:tblCellMar>
        </w:tblPrEx>
        <w:trPr>
          <w:trHeight w:val="411" w:hRule="atLeast"/>
          <w:jc w:val="center"/>
        </w:trPr>
        <w:tc>
          <w:tcPr>
            <w:tcW w:w="4487" w:type="dxa"/>
            <w:noWrap w:val="0"/>
            <w:vAlign w:val="center"/>
          </w:tcPr>
          <w:p w14:paraId="3B4EC0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电子邮箱：</w:t>
            </w:r>
          </w:p>
        </w:tc>
        <w:tc>
          <w:tcPr>
            <w:tcW w:w="4320" w:type="dxa"/>
            <w:noWrap w:val="0"/>
            <w:vAlign w:val="center"/>
          </w:tcPr>
          <w:p w14:paraId="24B9B5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电子邮箱：</w:t>
            </w:r>
          </w:p>
        </w:tc>
      </w:tr>
      <w:tr w14:paraId="722CAF8F">
        <w:tblPrEx>
          <w:tblCellMar>
            <w:top w:w="0" w:type="dxa"/>
            <w:left w:w="108" w:type="dxa"/>
            <w:bottom w:w="0" w:type="dxa"/>
            <w:right w:w="108" w:type="dxa"/>
          </w:tblCellMar>
        </w:tblPrEx>
        <w:trPr>
          <w:trHeight w:val="90" w:hRule="atLeast"/>
          <w:jc w:val="center"/>
        </w:trPr>
        <w:tc>
          <w:tcPr>
            <w:tcW w:w="4487" w:type="dxa"/>
            <w:noWrap w:val="0"/>
            <w:vAlign w:val="center"/>
          </w:tcPr>
          <w:p w14:paraId="4CBAC0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开户名称：</w:t>
            </w:r>
          </w:p>
        </w:tc>
        <w:tc>
          <w:tcPr>
            <w:tcW w:w="4320" w:type="dxa"/>
            <w:noWrap w:val="0"/>
            <w:vAlign w:val="center"/>
          </w:tcPr>
          <w:p w14:paraId="3D119E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开户名称：</w:t>
            </w:r>
          </w:p>
        </w:tc>
      </w:tr>
      <w:tr w14:paraId="2BCB38F5">
        <w:tblPrEx>
          <w:tblCellMar>
            <w:top w:w="0" w:type="dxa"/>
            <w:left w:w="108" w:type="dxa"/>
            <w:bottom w:w="0" w:type="dxa"/>
            <w:right w:w="108" w:type="dxa"/>
          </w:tblCellMar>
        </w:tblPrEx>
        <w:trPr>
          <w:trHeight w:val="440" w:hRule="atLeast"/>
          <w:jc w:val="center"/>
        </w:trPr>
        <w:tc>
          <w:tcPr>
            <w:tcW w:w="4487" w:type="dxa"/>
            <w:noWrap w:val="0"/>
            <w:vAlign w:val="center"/>
          </w:tcPr>
          <w:p w14:paraId="1DB663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开户银行：</w:t>
            </w:r>
          </w:p>
        </w:tc>
        <w:tc>
          <w:tcPr>
            <w:tcW w:w="4320" w:type="dxa"/>
            <w:noWrap w:val="0"/>
            <w:vAlign w:val="center"/>
          </w:tcPr>
          <w:p w14:paraId="192D1E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开户银行：</w:t>
            </w:r>
          </w:p>
        </w:tc>
      </w:tr>
      <w:tr w14:paraId="72AC1847">
        <w:tblPrEx>
          <w:tblCellMar>
            <w:top w:w="0" w:type="dxa"/>
            <w:left w:w="108" w:type="dxa"/>
            <w:bottom w:w="0" w:type="dxa"/>
            <w:right w:w="108" w:type="dxa"/>
          </w:tblCellMar>
        </w:tblPrEx>
        <w:trPr>
          <w:trHeight w:val="90" w:hRule="atLeast"/>
          <w:jc w:val="center"/>
        </w:trPr>
        <w:tc>
          <w:tcPr>
            <w:tcW w:w="4487" w:type="dxa"/>
            <w:noWrap w:val="0"/>
            <w:vAlign w:val="center"/>
          </w:tcPr>
          <w:p w14:paraId="16CBEA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账    号：</w:t>
            </w:r>
          </w:p>
        </w:tc>
        <w:tc>
          <w:tcPr>
            <w:tcW w:w="4320" w:type="dxa"/>
            <w:noWrap w:val="0"/>
            <w:vAlign w:val="center"/>
          </w:tcPr>
          <w:p w14:paraId="5D2F03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账号：</w:t>
            </w:r>
          </w:p>
        </w:tc>
      </w:tr>
      <w:tr w14:paraId="478890A4">
        <w:tblPrEx>
          <w:tblCellMar>
            <w:top w:w="0" w:type="dxa"/>
            <w:left w:w="108" w:type="dxa"/>
            <w:bottom w:w="0" w:type="dxa"/>
            <w:right w:w="108" w:type="dxa"/>
          </w:tblCellMar>
        </w:tblPrEx>
        <w:trPr>
          <w:trHeight w:val="490" w:hRule="atLeast"/>
          <w:jc w:val="center"/>
        </w:trPr>
        <w:tc>
          <w:tcPr>
            <w:tcW w:w="4487" w:type="dxa"/>
            <w:noWrap w:val="0"/>
            <w:vAlign w:val="center"/>
          </w:tcPr>
          <w:p w14:paraId="00DAC4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sz w:val="28"/>
                <w:szCs w:val="28"/>
                <w:highlight w:val="none"/>
              </w:rPr>
              <w:t>社会信用代码：</w:t>
            </w:r>
          </w:p>
        </w:tc>
        <w:tc>
          <w:tcPr>
            <w:tcW w:w="4320" w:type="dxa"/>
            <w:noWrap w:val="0"/>
            <w:vAlign w:val="center"/>
          </w:tcPr>
          <w:p w14:paraId="26040C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sz w:val="28"/>
                <w:szCs w:val="28"/>
                <w:highlight w:val="none"/>
              </w:rPr>
              <w:t>社会信用代码：</w:t>
            </w:r>
          </w:p>
        </w:tc>
      </w:tr>
      <w:tr w14:paraId="2DE09080">
        <w:tblPrEx>
          <w:tblCellMar>
            <w:top w:w="0" w:type="dxa"/>
            <w:left w:w="108" w:type="dxa"/>
            <w:bottom w:w="0" w:type="dxa"/>
            <w:right w:w="108" w:type="dxa"/>
          </w:tblCellMar>
        </w:tblPrEx>
        <w:trPr>
          <w:trHeight w:val="796" w:hRule="atLeast"/>
          <w:jc w:val="center"/>
        </w:trPr>
        <w:tc>
          <w:tcPr>
            <w:tcW w:w="8807" w:type="dxa"/>
            <w:gridSpan w:val="2"/>
            <w:noWrap w:val="0"/>
            <w:vAlign w:val="center"/>
          </w:tcPr>
          <w:p w14:paraId="1DC265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sz w:val="28"/>
                <w:szCs w:val="28"/>
                <w:highlight w:val="none"/>
                <w:lang w:eastAsia="zh-CN"/>
              </w:rPr>
              <w:t>日期：</w:t>
            </w:r>
            <w:r>
              <w:rPr>
                <w:rFonts w:hint="eastAsia" w:ascii="宋体" w:hAnsi="宋体" w:eastAsia="宋体" w:cs="宋体"/>
                <w:color w:val="auto"/>
                <w:sz w:val="28"/>
                <w:szCs w:val="28"/>
                <w:highlight w:val="none"/>
                <w:lang w:val="en-US" w:eastAsia="zh-CN"/>
              </w:rPr>
              <w:t xml:space="preserve">  </w:t>
            </w:r>
            <w:r>
              <w:rPr>
                <w:rFonts w:hint="eastAsia" w:ascii="宋体" w:hAnsi="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lang w:val="en-US" w:eastAsia="zh-CN"/>
              </w:rPr>
              <w:t>年   月   日</w:t>
            </w:r>
          </w:p>
        </w:tc>
      </w:tr>
    </w:tbl>
    <w:p w14:paraId="2ED8146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28"/>
          <w:szCs w:val="28"/>
        </w:rPr>
      </w:pPr>
    </w:p>
    <w:p w14:paraId="236BFBA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kern w:val="2"/>
          <w:sz w:val="28"/>
          <w:szCs w:val="28"/>
          <w:lang w:val="en-US" w:eastAsia="zh-CN" w:bidi="ar-SA"/>
        </w:rPr>
      </w:pPr>
    </w:p>
    <w:sectPr>
      <w:headerReference r:id="rId3" w:type="default"/>
      <w:footerReference r:id="rId4" w:type="default"/>
      <w:pgSz w:w="11906" w:h="16838"/>
      <w:pgMar w:top="1928" w:right="1474" w:bottom="1270"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58E56">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8BA25A">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08BA25A">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502D5">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BC28D8"/>
    <w:multiLevelType w:val="singleLevel"/>
    <w:tmpl w:val="47BC28D8"/>
    <w:lvl w:ilvl="0" w:tentative="0">
      <w:start w:val="5"/>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comments"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C3826"/>
    <w:rsid w:val="024F44B3"/>
    <w:rsid w:val="02922C89"/>
    <w:rsid w:val="030B2604"/>
    <w:rsid w:val="04697CC2"/>
    <w:rsid w:val="06F41C84"/>
    <w:rsid w:val="08E40324"/>
    <w:rsid w:val="098A7CDE"/>
    <w:rsid w:val="0BC46F31"/>
    <w:rsid w:val="0C1217F0"/>
    <w:rsid w:val="0C643807"/>
    <w:rsid w:val="119D71F9"/>
    <w:rsid w:val="12107727"/>
    <w:rsid w:val="125910CE"/>
    <w:rsid w:val="125C2C63"/>
    <w:rsid w:val="139E3270"/>
    <w:rsid w:val="142B7721"/>
    <w:rsid w:val="156C2EC6"/>
    <w:rsid w:val="1C8966E6"/>
    <w:rsid w:val="1E562965"/>
    <w:rsid w:val="1F262B56"/>
    <w:rsid w:val="20A97509"/>
    <w:rsid w:val="216D6BAB"/>
    <w:rsid w:val="22105521"/>
    <w:rsid w:val="238E4EA7"/>
    <w:rsid w:val="24F16E09"/>
    <w:rsid w:val="28520641"/>
    <w:rsid w:val="2B2362C5"/>
    <w:rsid w:val="2BA44E76"/>
    <w:rsid w:val="2C693A63"/>
    <w:rsid w:val="2E452726"/>
    <w:rsid w:val="2E5B2057"/>
    <w:rsid w:val="2EDE0482"/>
    <w:rsid w:val="2EF302AE"/>
    <w:rsid w:val="30334530"/>
    <w:rsid w:val="30BC3826"/>
    <w:rsid w:val="345F6138"/>
    <w:rsid w:val="352B46F4"/>
    <w:rsid w:val="368E3741"/>
    <w:rsid w:val="397367C5"/>
    <w:rsid w:val="3C177780"/>
    <w:rsid w:val="3E1D699B"/>
    <w:rsid w:val="3F4166B3"/>
    <w:rsid w:val="43572F6F"/>
    <w:rsid w:val="439E16EA"/>
    <w:rsid w:val="4571704B"/>
    <w:rsid w:val="45EF2E24"/>
    <w:rsid w:val="48021F9D"/>
    <w:rsid w:val="4C24044B"/>
    <w:rsid w:val="4DDE5823"/>
    <w:rsid w:val="4F6C44E9"/>
    <w:rsid w:val="503F31DC"/>
    <w:rsid w:val="50F32112"/>
    <w:rsid w:val="53A8239A"/>
    <w:rsid w:val="543C16DA"/>
    <w:rsid w:val="55747599"/>
    <w:rsid w:val="55D911AB"/>
    <w:rsid w:val="57837B9E"/>
    <w:rsid w:val="58507E4A"/>
    <w:rsid w:val="588D597B"/>
    <w:rsid w:val="58C228BE"/>
    <w:rsid w:val="59080725"/>
    <w:rsid w:val="59F91D02"/>
    <w:rsid w:val="5BED775E"/>
    <w:rsid w:val="5DFB0858"/>
    <w:rsid w:val="5E063F16"/>
    <w:rsid w:val="5E9A0BB5"/>
    <w:rsid w:val="619B2A57"/>
    <w:rsid w:val="69C73CE4"/>
    <w:rsid w:val="69FC4993"/>
    <w:rsid w:val="6C7672FB"/>
    <w:rsid w:val="6E1378E8"/>
    <w:rsid w:val="6F51652A"/>
    <w:rsid w:val="7270316B"/>
    <w:rsid w:val="75021039"/>
    <w:rsid w:val="75322959"/>
    <w:rsid w:val="76236C5B"/>
    <w:rsid w:val="76B73C11"/>
    <w:rsid w:val="788C43F9"/>
    <w:rsid w:val="7D006E99"/>
    <w:rsid w:val="7EA67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宋体" w:hAnsi="Courier New"/>
      <w:sz w:val="18"/>
      <w:szCs w:val="20"/>
    </w:rPr>
  </w:style>
  <w:style w:type="paragraph" w:styleId="3">
    <w:name w:val="Body Text"/>
    <w:basedOn w:val="1"/>
    <w:next w:val="4"/>
    <w:qFormat/>
    <w:uiPriority w:val="99"/>
    <w:pPr>
      <w:jc w:val="center"/>
    </w:pPr>
    <w:rPr>
      <w:sz w:val="52"/>
    </w:rPr>
  </w:style>
  <w:style w:type="paragraph" w:styleId="4">
    <w:name w:val="toc 5"/>
    <w:basedOn w:val="1"/>
    <w:next w:val="1"/>
    <w:qFormat/>
    <w:uiPriority w:val="39"/>
    <w:pPr>
      <w:ind w:left="840"/>
      <w:jc w:val="left"/>
    </w:pPr>
    <w:rPr>
      <w:sz w:val="18"/>
      <w:szCs w:val="18"/>
    </w:rPr>
  </w:style>
  <w:style w:type="paragraph" w:styleId="5">
    <w:name w:val="Body Text Indent"/>
    <w:basedOn w:val="1"/>
    <w:unhideWhenUsed/>
    <w:qFormat/>
    <w:uiPriority w:val="0"/>
    <w:pPr>
      <w:ind w:firstLine="640" w:firstLineChars="200"/>
    </w:pPr>
    <w:rPr>
      <w:kern w:val="0"/>
      <w:sz w:val="32"/>
    </w:rPr>
  </w:style>
  <w:style w:type="paragraph" w:styleId="6">
    <w:name w:val="Plain Text"/>
    <w:basedOn w:val="1"/>
    <w:qFormat/>
    <w:uiPriority w:val="0"/>
    <w:rPr>
      <w:rFonts w:ascii="宋体" w:hAnsi="Courier New"/>
      <w:szCs w:val="20"/>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kern w:val="0"/>
      <w:sz w:val="24"/>
      <w:szCs w:val="20"/>
    </w:rPr>
  </w:style>
  <w:style w:type="character" w:styleId="11">
    <w:name w:val="page number"/>
    <w:basedOn w:val="10"/>
    <w:qFormat/>
    <w:uiPriority w:val="0"/>
  </w:style>
  <w:style w:type="paragraph" w:customStyle="1" w:styleId="12">
    <w:name w:val="引言二级条标题"/>
    <w:basedOn w:val="13"/>
    <w:next w:val="14"/>
    <w:qFormat/>
    <w:uiPriority w:val="0"/>
    <w:pPr>
      <w:ind w:left="0" w:firstLine="0"/>
    </w:pPr>
    <w:rPr>
      <w:rFonts w:eastAsia="宋体"/>
    </w:rPr>
  </w:style>
  <w:style w:type="paragraph" w:customStyle="1" w:styleId="13">
    <w:name w:val="引言一级条标题"/>
    <w:basedOn w:val="1"/>
    <w:next w:val="14"/>
    <w:qFormat/>
    <w:uiPriority w:val="0"/>
    <w:pPr>
      <w:widowControl/>
      <w:spacing w:beforeAutospacing="1" w:afterAutospacing="1"/>
      <w:ind w:left="900" w:hanging="900"/>
    </w:pPr>
    <w:rPr>
      <w:rFonts w:eastAsia="黑体"/>
      <w:b/>
      <w:bCs/>
    </w:rPr>
  </w:style>
  <w:style w:type="paragraph" w:customStyle="1" w:styleId="1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
    <w:name w:val="Fließtext"/>
    <w:basedOn w:val="1"/>
    <w:qFormat/>
    <w:uiPriority w:val="99"/>
    <w:pPr>
      <w:overflowPunct w:val="0"/>
      <w:autoSpaceDE w:val="0"/>
      <w:autoSpaceDN w:val="0"/>
      <w:adjustRightInd w:val="0"/>
      <w:textAlignment w:val="baseline"/>
    </w:pPr>
    <w:rPr>
      <w:kern w:val="28"/>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3053</Words>
  <Characters>3260</Characters>
  <Lines>0</Lines>
  <Paragraphs>0</Paragraphs>
  <TotalTime>12</TotalTime>
  <ScaleCrop>false</ScaleCrop>
  <LinksUpToDate>false</LinksUpToDate>
  <CharactersWithSpaces>3818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2021-08-13T03:04:00Z</dcterms:created>
  <dc:creator>川爺</dc:creator>
  <cp:lastModifiedBy>运营公司</cp:lastModifiedBy>
  <dcterms:modified xsi:type="dcterms:W3CDTF">2025-07-08T01:12:21Z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86AD54154E2F41EE9BEDEF7DE9E01C3C</vt:lpwstr>
  </property>
  <property fmtid="{D5CDD505-2E9C-101B-9397-08002B2CF9AE}" pid="4" name="KSOTemplateDocerSaveRecord">
    <vt:lpwstr>eyJoZGlkIjoiMGExN2ZlMWQ0NzhiMjFkOTA2NTM0MGE1MDE1Njg5OGEiLCJ1c2VySWQiOiIxMzkwMzA1OTY1In0=</vt:lpwstr>
  </property>
</Properties>
</file>